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6CAE18" w14:textId="77777777" w:rsidR="005D6EEC" w:rsidRPr="00093FC5" w:rsidRDefault="005D6EEC" w:rsidP="005D6EEC">
      <w:pPr>
        <w:spacing w:after="0"/>
        <w:jc w:val="center"/>
        <w:rPr>
          <w:rFonts w:ascii="Century Gothic" w:hAnsi="Century Gothic"/>
          <w:b/>
          <w:bCs/>
          <w:color w:val="DB717B"/>
          <w:sz w:val="16"/>
          <w:szCs w:val="16"/>
        </w:rPr>
      </w:pPr>
    </w:p>
    <w:p w14:paraId="68971F0B" w14:textId="10B4BABD" w:rsidR="003F7198" w:rsidRPr="00093FC5" w:rsidRDefault="00E822B2" w:rsidP="00D603B7">
      <w:pPr>
        <w:jc w:val="center"/>
        <w:rPr>
          <w:rFonts w:ascii="Century Gothic" w:hAnsi="Century Gothic"/>
          <w:b/>
          <w:bCs/>
          <w:color w:val="DB717B"/>
          <w:sz w:val="28"/>
          <w:szCs w:val="28"/>
        </w:rPr>
      </w:pPr>
      <w:r w:rsidRPr="00093FC5">
        <w:rPr>
          <w:rFonts w:ascii="Century Gothic" w:hAnsi="Century Gothic"/>
          <w:b/>
          <w:bCs/>
          <w:color w:val="DB717B"/>
          <w:sz w:val="28"/>
          <w:szCs w:val="28"/>
        </w:rPr>
        <w:t xml:space="preserve">• </w:t>
      </w:r>
      <w:r w:rsidR="00FE3198" w:rsidRPr="00093FC5">
        <w:rPr>
          <w:rFonts w:ascii="Century Gothic" w:hAnsi="Century Gothic"/>
          <w:b/>
          <w:bCs/>
          <w:color w:val="DB717B"/>
          <w:sz w:val="28"/>
          <w:szCs w:val="28"/>
          <w:u w:val="single"/>
        </w:rPr>
        <w:t>MODELO</w:t>
      </w:r>
      <w:r w:rsidR="000434DB" w:rsidRPr="00093FC5">
        <w:rPr>
          <w:rFonts w:ascii="Century Gothic" w:hAnsi="Century Gothic"/>
          <w:b/>
          <w:bCs/>
          <w:color w:val="DB717B"/>
          <w:sz w:val="28"/>
          <w:szCs w:val="28"/>
          <w:u w:val="single"/>
        </w:rPr>
        <w:t xml:space="preserve"> </w:t>
      </w:r>
      <w:r w:rsidR="00FE3198" w:rsidRPr="00093FC5">
        <w:rPr>
          <w:rFonts w:ascii="Century Gothic" w:hAnsi="Century Gothic"/>
          <w:b/>
          <w:bCs/>
          <w:color w:val="DB717B"/>
          <w:sz w:val="28"/>
          <w:szCs w:val="28"/>
          <w:u w:val="single"/>
        </w:rPr>
        <w:t>PROPOSTA DE PROJETO</w:t>
      </w:r>
      <w:r w:rsidRPr="00093FC5">
        <w:rPr>
          <w:rFonts w:ascii="Century Gothic" w:hAnsi="Century Gothic"/>
          <w:b/>
          <w:bCs/>
          <w:color w:val="DB717B"/>
          <w:sz w:val="28"/>
          <w:szCs w:val="28"/>
        </w:rPr>
        <w:t xml:space="preserve"> •</w:t>
      </w:r>
    </w:p>
    <w:p w14:paraId="1F49F86B" w14:textId="66047631" w:rsidR="00BB249F" w:rsidRPr="00093FC5" w:rsidRDefault="00DE3137" w:rsidP="003D1C8F">
      <w:pPr>
        <w:spacing w:before="360"/>
        <w:jc w:val="both"/>
        <w:rPr>
          <w:rFonts w:ascii="Century Gothic" w:hAnsi="Century Gothic"/>
        </w:rPr>
      </w:pPr>
      <w:r w:rsidRPr="00093FC5">
        <w:rPr>
          <w:rFonts w:ascii="Century Gothic" w:hAnsi="Century Gothic"/>
          <w:b/>
          <w:bCs/>
          <w:color w:val="66328D"/>
        </w:rPr>
        <w:t>Título do p</w:t>
      </w:r>
      <w:r w:rsidR="00BB249F" w:rsidRPr="002A4F9B">
        <w:rPr>
          <w:rFonts w:ascii="Century Gothic" w:hAnsi="Century Gothic"/>
          <w:b/>
          <w:bCs/>
          <w:color w:val="66328D"/>
        </w:rPr>
        <w:t>roj</w:t>
      </w:r>
      <w:r w:rsidR="00BB249F" w:rsidRPr="00093FC5">
        <w:rPr>
          <w:rFonts w:ascii="Century Gothic" w:hAnsi="Century Gothic"/>
          <w:b/>
          <w:bCs/>
          <w:color w:val="66328D"/>
        </w:rPr>
        <w:t>eto:</w:t>
      </w:r>
      <w:r w:rsidR="00BB249F" w:rsidRPr="00093FC5">
        <w:rPr>
          <w:rFonts w:ascii="Century Gothic" w:hAnsi="Century Gothic"/>
          <w:color w:val="66328D"/>
        </w:rPr>
        <w:t xml:space="preserve"> </w:t>
      </w:r>
      <w:r w:rsidR="00BB249F" w:rsidRPr="00093FC5">
        <w:rPr>
          <w:rFonts w:ascii="Century Gothic" w:hAnsi="Century Gothic"/>
          <w:i/>
          <w:iCs/>
        </w:rPr>
        <w:t>SHE matters</w:t>
      </w:r>
      <w:r w:rsidR="00B22CE5" w:rsidRPr="00093FC5">
        <w:rPr>
          <w:rFonts w:ascii="Century Gothic" w:hAnsi="Century Gothic"/>
          <w:i/>
          <w:iCs/>
        </w:rPr>
        <w:t xml:space="preserve"> - casos clínicos</w:t>
      </w:r>
    </w:p>
    <w:p w14:paraId="1A8FCF0A" w14:textId="3CA84E94" w:rsidR="00DE3137" w:rsidRPr="00093FC5" w:rsidRDefault="00DE3137" w:rsidP="00E822B2">
      <w:pPr>
        <w:jc w:val="both"/>
        <w:rPr>
          <w:rFonts w:ascii="Century Gothic" w:hAnsi="Century Gothic"/>
          <w:sz w:val="22"/>
          <w:szCs w:val="22"/>
        </w:rPr>
      </w:pPr>
      <w:r w:rsidRPr="00093FC5">
        <w:rPr>
          <w:rFonts w:ascii="Century Gothic" w:hAnsi="Century Gothic"/>
          <w:b/>
          <w:bCs/>
          <w:color w:val="66328D"/>
        </w:rPr>
        <w:t>Instituição</w:t>
      </w:r>
      <w:r w:rsidR="00F80A73" w:rsidRPr="00093FC5">
        <w:rPr>
          <w:rFonts w:ascii="Century Gothic" w:hAnsi="Century Gothic"/>
          <w:b/>
          <w:bCs/>
          <w:color w:val="66328D"/>
        </w:rPr>
        <w:t>:</w:t>
      </w:r>
      <w:r w:rsidR="00E822B2" w:rsidRPr="00093FC5">
        <w:rPr>
          <w:rFonts w:ascii="Century Gothic" w:hAnsi="Century Gothic"/>
          <w:b/>
          <w:bCs/>
          <w:color w:val="66328D"/>
        </w:rPr>
        <w:t xml:space="preserve"> </w:t>
      </w:r>
    </w:p>
    <w:p w14:paraId="0517745D" w14:textId="73D5D357" w:rsidR="00DE3137" w:rsidRPr="00093FC5" w:rsidRDefault="00DE3137" w:rsidP="00E822B2">
      <w:pPr>
        <w:spacing w:before="360"/>
        <w:jc w:val="both"/>
        <w:rPr>
          <w:rFonts w:ascii="Century Gothic" w:hAnsi="Century Gothic"/>
          <w:b/>
          <w:bCs/>
          <w:color w:val="66328D"/>
          <w:sz w:val="22"/>
          <w:szCs w:val="22"/>
          <w:u w:val="single"/>
        </w:rPr>
      </w:pPr>
      <w:r w:rsidRPr="00093FC5">
        <w:rPr>
          <w:rFonts w:ascii="Century Gothic" w:hAnsi="Century Gothic"/>
          <w:b/>
          <w:bCs/>
          <w:color w:val="66328D"/>
          <w:sz w:val="22"/>
          <w:szCs w:val="22"/>
          <w:u w:val="single"/>
        </w:rPr>
        <w:t>Equipa de Investigação</w:t>
      </w:r>
    </w:p>
    <w:p w14:paraId="1E50EADA" w14:textId="3BE39846" w:rsidR="00BB249F" w:rsidRPr="00093FC5" w:rsidRDefault="00BB249F" w:rsidP="00583A05">
      <w:pPr>
        <w:ind w:left="720"/>
        <w:jc w:val="both"/>
        <w:rPr>
          <w:rFonts w:ascii="Century Gothic" w:hAnsi="Century Gothic"/>
          <w:b/>
          <w:bCs/>
          <w:color w:val="66328D"/>
          <w:sz w:val="22"/>
          <w:szCs w:val="22"/>
        </w:rPr>
      </w:pPr>
      <w:r w:rsidRPr="00093FC5">
        <w:rPr>
          <w:rFonts w:ascii="Century Gothic" w:hAnsi="Century Gothic"/>
          <w:b/>
          <w:bCs/>
          <w:color w:val="66328D"/>
          <w:sz w:val="22"/>
          <w:szCs w:val="22"/>
        </w:rPr>
        <w:t>Investigador</w:t>
      </w:r>
      <w:r w:rsidR="00DE3137" w:rsidRPr="00093FC5">
        <w:rPr>
          <w:rFonts w:ascii="Century Gothic" w:hAnsi="Century Gothic"/>
          <w:b/>
          <w:bCs/>
          <w:color w:val="66328D"/>
          <w:sz w:val="22"/>
          <w:szCs w:val="22"/>
        </w:rPr>
        <w:t xml:space="preserve"> Principal</w:t>
      </w:r>
    </w:p>
    <w:p w14:paraId="1953D3DE" w14:textId="77777777" w:rsidR="00DE3137" w:rsidRPr="00093FC5" w:rsidRDefault="00DE3137" w:rsidP="00583A05">
      <w:pPr>
        <w:ind w:left="720"/>
        <w:jc w:val="both"/>
        <w:rPr>
          <w:rFonts w:ascii="Century Gothic" w:hAnsi="Century Gothic"/>
          <w:sz w:val="22"/>
          <w:szCs w:val="22"/>
        </w:rPr>
      </w:pPr>
      <w:r w:rsidRPr="00093FC5">
        <w:rPr>
          <w:rFonts w:ascii="Century Gothic" w:hAnsi="Century Gothic"/>
          <w:sz w:val="22"/>
          <w:szCs w:val="22"/>
        </w:rPr>
        <w:t xml:space="preserve">Nome: </w:t>
      </w:r>
    </w:p>
    <w:p w14:paraId="760D36DF" w14:textId="17AFF4FF" w:rsidR="00DE3137" w:rsidRPr="00093FC5" w:rsidRDefault="00DE3137" w:rsidP="00583A05">
      <w:pPr>
        <w:ind w:left="720"/>
        <w:jc w:val="both"/>
        <w:rPr>
          <w:rFonts w:ascii="Century Gothic" w:hAnsi="Century Gothic"/>
          <w:sz w:val="22"/>
          <w:szCs w:val="22"/>
        </w:rPr>
      </w:pPr>
      <w:r w:rsidRPr="00093FC5">
        <w:rPr>
          <w:rFonts w:ascii="Century Gothic" w:hAnsi="Century Gothic"/>
          <w:sz w:val="22"/>
          <w:szCs w:val="22"/>
        </w:rPr>
        <w:t>Instituição afiliada:</w:t>
      </w:r>
    </w:p>
    <w:p w14:paraId="75FB5A1E" w14:textId="77777777" w:rsidR="00BB249F" w:rsidRPr="00093FC5" w:rsidRDefault="00BB249F" w:rsidP="00583A05">
      <w:pPr>
        <w:ind w:left="720"/>
        <w:jc w:val="both"/>
        <w:rPr>
          <w:rFonts w:ascii="Century Gothic" w:hAnsi="Century Gothic"/>
          <w:sz w:val="22"/>
          <w:szCs w:val="22"/>
        </w:rPr>
      </w:pPr>
      <w:r w:rsidRPr="00093FC5">
        <w:rPr>
          <w:rFonts w:ascii="Century Gothic" w:hAnsi="Century Gothic"/>
          <w:sz w:val="22"/>
          <w:szCs w:val="22"/>
        </w:rPr>
        <w:t xml:space="preserve">Morada: </w:t>
      </w:r>
    </w:p>
    <w:p w14:paraId="46BD1B12" w14:textId="5D4468A3" w:rsidR="00BB249F" w:rsidRPr="00093FC5" w:rsidRDefault="00DE3137" w:rsidP="00583A05">
      <w:pPr>
        <w:ind w:left="720"/>
        <w:jc w:val="both"/>
        <w:rPr>
          <w:rFonts w:ascii="Century Gothic" w:hAnsi="Century Gothic"/>
          <w:sz w:val="22"/>
          <w:szCs w:val="22"/>
        </w:rPr>
      </w:pPr>
      <w:r w:rsidRPr="00093FC5">
        <w:rPr>
          <w:rFonts w:ascii="Century Gothic" w:hAnsi="Century Gothic"/>
          <w:sz w:val="22"/>
          <w:szCs w:val="22"/>
        </w:rPr>
        <w:t>Contacto t</w:t>
      </w:r>
      <w:r w:rsidR="00BB249F" w:rsidRPr="00093FC5">
        <w:rPr>
          <w:rFonts w:ascii="Century Gothic" w:hAnsi="Century Gothic"/>
          <w:sz w:val="22"/>
          <w:szCs w:val="22"/>
        </w:rPr>
        <w:t>elef</w:t>
      </w:r>
      <w:r w:rsidRPr="00093FC5">
        <w:rPr>
          <w:rFonts w:ascii="Century Gothic" w:hAnsi="Century Gothic"/>
          <w:sz w:val="22"/>
          <w:szCs w:val="22"/>
        </w:rPr>
        <w:t>ó</w:t>
      </w:r>
      <w:r w:rsidR="00BB249F" w:rsidRPr="00093FC5">
        <w:rPr>
          <w:rFonts w:ascii="Century Gothic" w:hAnsi="Century Gothic"/>
          <w:sz w:val="22"/>
          <w:szCs w:val="22"/>
        </w:rPr>
        <w:t>n</w:t>
      </w:r>
      <w:r w:rsidRPr="00093FC5">
        <w:rPr>
          <w:rFonts w:ascii="Century Gothic" w:hAnsi="Century Gothic"/>
          <w:sz w:val="22"/>
          <w:szCs w:val="22"/>
        </w:rPr>
        <w:t>ico</w:t>
      </w:r>
      <w:r w:rsidR="00BB249F" w:rsidRPr="00093FC5">
        <w:rPr>
          <w:rFonts w:ascii="Century Gothic" w:hAnsi="Century Gothic"/>
          <w:sz w:val="22"/>
          <w:szCs w:val="22"/>
        </w:rPr>
        <w:t>:</w:t>
      </w:r>
    </w:p>
    <w:p w14:paraId="5FC46A36" w14:textId="5073FD6D" w:rsidR="00BB249F" w:rsidRPr="00093FC5" w:rsidRDefault="00DE3137" w:rsidP="00583A05">
      <w:pPr>
        <w:ind w:left="720"/>
        <w:jc w:val="both"/>
        <w:rPr>
          <w:rFonts w:ascii="Century Gothic" w:hAnsi="Century Gothic"/>
          <w:sz w:val="22"/>
          <w:szCs w:val="22"/>
        </w:rPr>
      </w:pPr>
      <w:r w:rsidRPr="00093FC5">
        <w:rPr>
          <w:rFonts w:ascii="Century Gothic" w:hAnsi="Century Gothic"/>
          <w:sz w:val="22"/>
          <w:szCs w:val="22"/>
        </w:rPr>
        <w:t>Endereço eletrónico</w:t>
      </w:r>
      <w:r w:rsidR="00BB249F" w:rsidRPr="00093FC5">
        <w:rPr>
          <w:rFonts w:ascii="Century Gothic" w:hAnsi="Century Gothic"/>
          <w:sz w:val="22"/>
          <w:szCs w:val="22"/>
        </w:rPr>
        <w:t>:</w:t>
      </w:r>
    </w:p>
    <w:p w14:paraId="57F144DA" w14:textId="77777777" w:rsidR="00DE3137" w:rsidRPr="00093FC5" w:rsidRDefault="00DE3137" w:rsidP="00583A05">
      <w:pPr>
        <w:ind w:left="720"/>
        <w:jc w:val="both"/>
        <w:rPr>
          <w:rFonts w:ascii="Century Gothic" w:hAnsi="Century Gothic"/>
          <w:sz w:val="22"/>
          <w:szCs w:val="22"/>
        </w:rPr>
      </w:pPr>
    </w:p>
    <w:p w14:paraId="25FA68CB" w14:textId="7BE98BA9" w:rsidR="00DE3137" w:rsidRPr="00093FC5" w:rsidRDefault="00DE3137" w:rsidP="00583A05">
      <w:pPr>
        <w:ind w:left="720"/>
        <w:jc w:val="both"/>
        <w:rPr>
          <w:rFonts w:ascii="Century Gothic" w:hAnsi="Century Gothic"/>
          <w:sz w:val="22"/>
          <w:szCs w:val="22"/>
        </w:rPr>
      </w:pPr>
      <w:r w:rsidRPr="00093FC5">
        <w:rPr>
          <w:rFonts w:ascii="Century Gothic" w:hAnsi="Century Gothic"/>
          <w:b/>
          <w:bCs/>
          <w:color w:val="66328D"/>
          <w:sz w:val="22"/>
          <w:szCs w:val="22"/>
        </w:rPr>
        <w:t>Co-investigador</w:t>
      </w:r>
      <w:r w:rsidR="00CC12F1" w:rsidRPr="00093FC5">
        <w:rPr>
          <w:rFonts w:ascii="Century Gothic" w:hAnsi="Century Gothic"/>
          <w:color w:val="66328D"/>
          <w:sz w:val="22"/>
          <w:szCs w:val="22"/>
        </w:rPr>
        <w:t xml:space="preserve"> </w:t>
      </w:r>
      <w:r w:rsidR="00CC12F1" w:rsidRPr="00093FC5">
        <w:rPr>
          <w:rFonts w:ascii="Century Gothic" w:hAnsi="Century Gothic"/>
          <w:i/>
          <w:iCs/>
          <w:color w:val="747474" w:themeColor="background2" w:themeShade="80"/>
          <w:sz w:val="22"/>
          <w:szCs w:val="22"/>
        </w:rPr>
        <w:t>(se</w:t>
      </w:r>
      <w:r w:rsidRPr="00093FC5">
        <w:rPr>
          <w:rFonts w:ascii="Century Gothic" w:hAnsi="Century Gothic"/>
          <w:i/>
          <w:iCs/>
          <w:color w:val="747474" w:themeColor="background2" w:themeShade="80"/>
          <w:sz w:val="22"/>
          <w:szCs w:val="22"/>
        </w:rPr>
        <w:t xml:space="preserve"> aplicável</w:t>
      </w:r>
      <w:r w:rsidR="00CC12F1" w:rsidRPr="00093FC5">
        <w:rPr>
          <w:rFonts w:ascii="Century Gothic" w:hAnsi="Century Gothic"/>
          <w:i/>
          <w:iCs/>
          <w:color w:val="747474" w:themeColor="background2" w:themeShade="80"/>
          <w:sz w:val="22"/>
          <w:szCs w:val="22"/>
        </w:rPr>
        <w:t>)</w:t>
      </w:r>
    </w:p>
    <w:p w14:paraId="53334C87" w14:textId="77777777" w:rsidR="00DE3137" w:rsidRPr="00093FC5" w:rsidRDefault="00DE3137" w:rsidP="00583A05">
      <w:pPr>
        <w:ind w:left="720"/>
        <w:jc w:val="both"/>
        <w:rPr>
          <w:rFonts w:ascii="Century Gothic" w:hAnsi="Century Gothic"/>
          <w:sz w:val="22"/>
          <w:szCs w:val="22"/>
        </w:rPr>
      </w:pPr>
      <w:r w:rsidRPr="00093FC5">
        <w:rPr>
          <w:rFonts w:ascii="Century Gothic" w:hAnsi="Century Gothic"/>
          <w:sz w:val="22"/>
          <w:szCs w:val="22"/>
        </w:rPr>
        <w:t xml:space="preserve">Nome: </w:t>
      </w:r>
    </w:p>
    <w:p w14:paraId="720BA8A3" w14:textId="77777777" w:rsidR="00DE3137" w:rsidRPr="00093FC5" w:rsidRDefault="00DE3137" w:rsidP="00583A05">
      <w:pPr>
        <w:ind w:left="720"/>
        <w:jc w:val="both"/>
        <w:rPr>
          <w:rFonts w:ascii="Century Gothic" w:hAnsi="Century Gothic"/>
          <w:sz w:val="22"/>
          <w:szCs w:val="22"/>
        </w:rPr>
      </w:pPr>
      <w:r w:rsidRPr="00093FC5">
        <w:rPr>
          <w:rFonts w:ascii="Century Gothic" w:hAnsi="Century Gothic"/>
          <w:sz w:val="22"/>
          <w:szCs w:val="22"/>
        </w:rPr>
        <w:t>Instituição afiliada:</w:t>
      </w:r>
    </w:p>
    <w:p w14:paraId="44516E00" w14:textId="77777777" w:rsidR="00DE3137" w:rsidRPr="00093FC5" w:rsidRDefault="00DE3137" w:rsidP="00583A05">
      <w:pPr>
        <w:ind w:left="720"/>
        <w:jc w:val="both"/>
        <w:rPr>
          <w:rFonts w:ascii="Century Gothic" w:hAnsi="Century Gothic"/>
          <w:sz w:val="22"/>
          <w:szCs w:val="22"/>
        </w:rPr>
      </w:pPr>
      <w:r w:rsidRPr="00093FC5">
        <w:rPr>
          <w:rFonts w:ascii="Century Gothic" w:hAnsi="Century Gothic"/>
          <w:sz w:val="22"/>
          <w:szCs w:val="22"/>
        </w:rPr>
        <w:t xml:space="preserve">Morada: </w:t>
      </w:r>
    </w:p>
    <w:p w14:paraId="02F5C85A" w14:textId="77777777" w:rsidR="00DE3137" w:rsidRPr="00093FC5" w:rsidRDefault="00DE3137" w:rsidP="00583A05">
      <w:pPr>
        <w:ind w:left="720"/>
        <w:jc w:val="both"/>
        <w:rPr>
          <w:rFonts w:ascii="Century Gothic" w:hAnsi="Century Gothic"/>
          <w:sz w:val="22"/>
          <w:szCs w:val="22"/>
        </w:rPr>
      </w:pPr>
      <w:r w:rsidRPr="00093FC5">
        <w:rPr>
          <w:rFonts w:ascii="Century Gothic" w:hAnsi="Century Gothic"/>
          <w:sz w:val="22"/>
          <w:szCs w:val="22"/>
        </w:rPr>
        <w:t>Contacto telefónico:</w:t>
      </w:r>
    </w:p>
    <w:p w14:paraId="2A13C9B6" w14:textId="77777777" w:rsidR="00DE3137" w:rsidRPr="00093FC5" w:rsidRDefault="00DE3137" w:rsidP="00583A05">
      <w:pPr>
        <w:ind w:left="720"/>
        <w:jc w:val="both"/>
        <w:rPr>
          <w:rFonts w:ascii="Century Gothic" w:hAnsi="Century Gothic"/>
          <w:sz w:val="22"/>
          <w:szCs w:val="22"/>
        </w:rPr>
      </w:pPr>
      <w:r w:rsidRPr="00093FC5">
        <w:rPr>
          <w:rFonts w:ascii="Century Gothic" w:hAnsi="Century Gothic"/>
          <w:sz w:val="22"/>
          <w:szCs w:val="22"/>
        </w:rPr>
        <w:t>Endereço eletrónico:</w:t>
      </w:r>
    </w:p>
    <w:p w14:paraId="0EA4F247" w14:textId="77777777" w:rsidR="00BB249F" w:rsidRPr="00093FC5" w:rsidRDefault="00BB249F" w:rsidP="00583A05">
      <w:pPr>
        <w:jc w:val="both"/>
        <w:rPr>
          <w:rFonts w:ascii="Century Gothic" w:hAnsi="Century Gothic"/>
          <w:sz w:val="22"/>
          <w:szCs w:val="22"/>
        </w:rPr>
      </w:pPr>
    </w:p>
    <w:p w14:paraId="034DB369" w14:textId="77777777" w:rsidR="00BB249F" w:rsidRPr="00093FC5" w:rsidRDefault="00BB249F" w:rsidP="00583A05">
      <w:pPr>
        <w:jc w:val="both"/>
        <w:rPr>
          <w:rFonts w:ascii="Century Gothic" w:hAnsi="Century Gothic"/>
          <w:b/>
          <w:bCs/>
          <w:color w:val="66328D"/>
          <w:sz w:val="22"/>
          <w:szCs w:val="22"/>
          <w:u w:val="single"/>
        </w:rPr>
      </w:pPr>
      <w:r w:rsidRPr="00093FC5">
        <w:rPr>
          <w:rFonts w:ascii="Century Gothic" w:hAnsi="Century Gothic"/>
          <w:b/>
          <w:bCs/>
          <w:color w:val="66328D"/>
          <w:sz w:val="22"/>
          <w:szCs w:val="22"/>
          <w:u w:val="single"/>
        </w:rPr>
        <w:t>Encarregado de Proteção de Dados</w:t>
      </w:r>
    </w:p>
    <w:p w14:paraId="56E87D4A" w14:textId="77777777" w:rsidR="00BB249F" w:rsidRPr="00093FC5" w:rsidRDefault="00BB249F" w:rsidP="00583A05">
      <w:pPr>
        <w:ind w:left="720"/>
        <w:jc w:val="both"/>
        <w:rPr>
          <w:rFonts w:ascii="Century Gothic" w:hAnsi="Century Gothic"/>
          <w:sz w:val="22"/>
          <w:szCs w:val="22"/>
        </w:rPr>
      </w:pPr>
      <w:r w:rsidRPr="00093FC5">
        <w:rPr>
          <w:rFonts w:ascii="Century Gothic" w:hAnsi="Century Gothic"/>
          <w:sz w:val="22"/>
          <w:szCs w:val="22"/>
        </w:rPr>
        <w:t xml:space="preserve">Nome: </w:t>
      </w:r>
    </w:p>
    <w:p w14:paraId="301B57ED" w14:textId="77777777" w:rsidR="00BB249F" w:rsidRPr="00093FC5" w:rsidRDefault="00BB249F" w:rsidP="00583A05">
      <w:pPr>
        <w:ind w:left="720"/>
        <w:jc w:val="both"/>
        <w:rPr>
          <w:rFonts w:ascii="Century Gothic" w:hAnsi="Century Gothic"/>
          <w:sz w:val="22"/>
          <w:szCs w:val="22"/>
        </w:rPr>
      </w:pPr>
      <w:r w:rsidRPr="00093FC5">
        <w:rPr>
          <w:rFonts w:ascii="Century Gothic" w:hAnsi="Century Gothic"/>
          <w:sz w:val="22"/>
          <w:szCs w:val="22"/>
        </w:rPr>
        <w:t xml:space="preserve">Morada: </w:t>
      </w:r>
    </w:p>
    <w:p w14:paraId="6CA0D59F" w14:textId="77777777" w:rsidR="00DE3137" w:rsidRPr="00093FC5" w:rsidRDefault="00DE3137" w:rsidP="00583A05">
      <w:pPr>
        <w:ind w:left="720"/>
        <w:jc w:val="both"/>
        <w:rPr>
          <w:rFonts w:ascii="Century Gothic" w:hAnsi="Century Gothic"/>
          <w:sz w:val="22"/>
          <w:szCs w:val="22"/>
        </w:rPr>
      </w:pPr>
      <w:r w:rsidRPr="00093FC5">
        <w:rPr>
          <w:rFonts w:ascii="Century Gothic" w:hAnsi="Century Gothic"/>
          <w:sz w:val="22"/>
          <w:szCs w:val="22"/>
        </w:rPr>
        <w:t>Contacto telefónico:</w:t>
      </w:r>
    </w:p>
    <w:p w14:paraId="7A752A6D" w14:textId="52E24818" w:rsidR="00D03E92" w:rsidRPr="00093FC5" w:rsidRDefault="00DE3137" w:rsidP="00583A05">
      <w:pPr>
        <w:ind w:left="720"/>
        <w:jc w:val="both"/>
        <w:rPr>
          <w:rFonts w:ascii="Century Gothic" w:hAnsi="Century Gothic"/>
          <w:sz w:val="22"/>
          <w:szCs w:val="22"/>
        </w:rPr>
      </w:pPr>
      <w:r w:rsidRPr="00093FC5">
        <w:rPr>
          <w:rFonts w:ascii="Century Gothic" w:hAnsi="Century Gothic"/>
          <w:sz w:val="22"/>
          <w:szCs w:val="22"/>
        </w:rPr>
        <w:t>Endereço eletrónico:</w:t>
      </w:r>
    </w:p>
    <w:p w14:paraId="3A297937" w14:textId="051AFF0B" w:rsidR="007A7DB7" w:rsidRPr="00093FC5" w:rsidRDefault="00BB249F" w:rsidP="003D1C8F">
      <w:pPr>
        <w:pStyle w:val="BodyText"/>
        <w:spacing w:before="292"/>
        <w:ind w:left="140" w:right="140" w:firstLine="0"/>
        <w:jc w:val="both"/>
        <w:rPr>
          <w:rFonts w:ascii="Century Gothic" w:eastAsiaTheme="minorHAnsi" w:hAnsi="Century Gothic"/>
          <w:color w:val="000000"/>
          <w:sz w:val="22"/>
          <w:szCs w:val="22"/>
          <w14:ligatures w14:val="standardContextual"/>
        </w:rPr>
      </w:pPr>
      <w:r w:rsidRPr="00093FC5">
        <w:rPr>
          <w:rFonts w:ascii="Century Gothic" w:eastAsiaTheme="minorHAnsi" w:hAnsi="Century Gothic"/>
          <w:color w:val="000000"/>
          <w:sz w:val="22"/>
          <w:szCs w:val="22"/>
          <w14:ligatures w14:val="standardContextual"/>
        </w:rPr>
        <w:t>No âmbito do estudo, os investigadores responsáveis pelo estudo, comissões de ética e autoridades reguladoras estão obrigados ao dever de confidencialidade e serão responsáveis por garantir o respeito pelos direitos dos titulares dos dados.</w:t>
      </w:r>
    </w:p>
    <w:p w14:paraId="1BF2EE1C" w14:textId="62D0F840" w:rsidR="008A2356" w:rsidRPr="00093FC5" w:rsidRDefault="00F80A73" w:rsidP="003D1C8F">
      <w:pPr>
        <w:spacing w:before="240"/>
        <w:jc w:val="both"/>
        <w:rPr>
          <w:rFonts w:ascii="Century Gothic" w:hAnsi="Century Gothic"/>
          <w:b/>
          <w:bCs/>
          <w:color w:val="66328D"/>
        </w:rPr>
      </w:pPr>
      <w:r w:rsidRPr="00093FC5">
        <w:rPr>
          <w:rFonts w:ascii="Century Gothic" w:hAnsi="Century Gothic"/>
          <w:b/>
          <w:bCs/>
          <w:color w:val="66328D"/>
        </w:rPr>
        <w:lastRenderedPageBreak/>
        <w:t>Introdu</w:t>
      </w:r>
      <w:r w:rsidR="007A7DB7" w:rsidRPr="00093FC5">
        <w:rPr>
          <w:rFonts w:ascii="Century Gothic" w:hAnsi="Century Gothic"/>
          <w:b/>
          <w:bCs/>
          <w:color w:val="66328D"/>
        </w:rPr>
        <w:t>ção</w:t>
      </w:r>
    </w:p>
    <w:p w14:paraId="10813293" w14:textId="77777777" w:rsidR="00CD2B76" w:rsidRPr="00093FC5" w:rsidRDefault="008A2356" w:rsidP="002D363F">
      <w:pPr>
        <w:pStyle w:val="Default"/>
        <w:spacing w:after="160" w:line="278" w:lineRule="auto"/>
        <w:jc w:val="both"/>
        <w:rPr>
          <w:rFonts w:ascii="Century Gothic" w:hAnsi="Century Gothic"/>
          <w:sz w:val="22"/>
          <w:szCs w:val="22"/>
          <w:lang w:val="pt-PT"/>
        </w:rPr>
      </w:pPr>
      <w:r w:rsidRPr="00093FC5">
        <w:rPr>
          <w:rFonts w:ascii="Century Gothic" w:hAnsi="Century Gothic"/>
          <w:sz w:val="22"/>
          <w:szCs w:val="22"/>
          <w:lang w:val="pt-PT"/>
        </w:rPr>
        <w:t>O cancro do endométrio (CE) é a quarta neoplasia mais frequente na mulher, na Europa, com uma incidência aproximadamente 15,6 casos por 100.000 mulheres registados em 2022. Em Portugal, esta neoplasia tem uma incidência de 10 novos casos por 100.000 mulheres e afeta maioritariamente as mulheres com mais de 50 anos e no período pós-menopausa.</w:t>
      </w:r>
      <w:r w:rsidRPr="00093FC5">
        <w:rPr>
          <w:rFonts w:ascii="Century Gothic" w:hAnsi="Century Gothic"/>
          <w:sz w:val="22"/>
          <w:szCs w:val="22"/>
          <w:vertAlign w:val="superscript"/>
          <w:lang w:val="pt-PT"/>
        </w:rPr>
        <w:t>1</w:t>
      </w:r>
      <w:r w:rsidRPr="00093FC5">
        <w:rPr>
          <w:rFonts w:ascii="Century Gothic" w:hAnsi="Century Gothic"/>
          <w:sz w:val="22"/>
          <w:szCs w:val="22"/>
          <w:lang w:val="pt-PT"/>
        </w:rPr>
        <w:t xml:space="preserve"> </w:t>
      </w:r>
    </w:p>
    <w:p w14:paraId="1D7A689B" w14:textId="529A71AD" w:rsidR="00CD2B76" w:rsidRPr="00093FC5" w:rsidRDefault="00631139" w:rsidP="002D363F">
      <w:pPr>
        <w:pStyle w:val="Default"/>
        <w:spacing w:after="160" w:line="278" w:lineRule="auto"/>
        <w:jc w:val="both"/>
        <w:rPr>
          <w:rFonts w:ascii="Century Gothic" w:hAnsi="Century Gothic"/>
          <w:sz w:val="22"/>
          <w:szCs w:val="22"/>
          <w:lang w:val="pt-PT"/>
        </w:rPr>
      </w:pPr>
      <w:r w:rsidRPr="00093FC5">
        <w:rPr>
          <w:rFonts w:ascii="Century Gothic" w:hAnsi="Century Gothic"/>
          <w:sz w:val="22"/>
          <w:szCs w:val="22"/>
          <w:lang w:val="pt-PT"/>
        </w:rPr>
        <w:t xml:space="preserve">A maioria dos casos </w:t>
      </w:r>
      <w:r w:rsidR="002F2629" w:rsidRPr="00093FC5">
        <w:rPr>
          <w:rFonts w:ascii="Century Gothic" w:hAnsi="Century Gothic"/>
          <w:sz w:val="22"/>
          <w:szCs w:val="22"/>
          <w:lang w:val="pt-PT"/>
        </w:rPr>
        <w:t>são</w:t>
      </w:r>
      <w:r w:rsidRPr="00093FC5">
        <w:rPr>
          <w:rFonts w:ascii="Century Gothic" w:hAnsi="Century Gothic"/>
          <w:sz w:val="22"/>
          <w:szCs w:val="22"/>
          <w:lang w:val="pt-PT"/>
        </w:rPr>
        <w:t xml:space="preserve"> diagnosticad</w:t>
      </w:r>
      <w:r w:rsidR="002F2629" w:rsidRPr="00093FC5">
        <w:rPr>
          <w:rFonts w:ascii="Century Gothic" w:hAnsi="Century Gothic"/>
          <w:sz w:val="22"/>
          <w:szCs w:val="22"/>
          <w:lang w:val="pt-PT"/>
        </w:rPr>
        <w:t>os</w:t>
      </w:r>
      <w:r w:rsidRPr="00093FC5">
        <w:rPr>
          <w:rFonts w:ascii="Century Gothic" w:hAnsi="Century Gothic"/>
          <w:sz w:val="22"/>
          <w:szCs w:val="22"/>
          <w:lang w:val="pt-PT"/>
        </w:rPr>
        <w:t xml:space="preserve"> precocemente com taxas de sobrevivência aos 5 anos &gt;95%</w:t>
      </w:r>
      <w:r w:rsidR="002F2629" w:rsidRPr="00093FC5">
        <w:rPr>
          <w:rFonts w:ascii="Century Gothic" w:hAnsi="Century Gothic"/>
          <w:sz w:val="22"/>
          <w:szCs w:val="22"/>
          <w:lang w:val="pt-PT"/>
        </w:rPr>
        <w:t>, no entanto, c</w:t>
      </w:r>
      <w:r w:rsidRPr="00093FC5">
        <w:rPr>
          <w:rFonts w:ascii="Century Gothic" w:hAnsi="Century Gothic"/>
          <w:sz w:val="22"/>
          <w:szCs w:val="22"/>
          <w:lang w:val="pt-PT"/>
        </w:rPr>
        <w:t>erca de 21–25% das doentes com CE são diagnosticadas em estadios III–IV. Além disso, entre 15,5%–17% das mulheres com CE apresentam recidiva da doença, na sua maioria com doença avançada. As taxas de sobrevivência aos 5 anos são bastantes inferiores se existir envolvimento regional (estadio III) ou doença à distância (estadio IV), sendo de 58 e 17%, respetivamente. O impacto do CE na qualidade de vida (QoL) é frequentemente mais pronunciado em doentes com doença avançada e recorrente, devido ao mau prognóstico, sintomas debilitantes e deterioração física nos estadios mais avançados da doença, em comparação com estadios iniciais.</w:t>
      </w:r>
      <w:r w:rsidR="000243DF" w:rsidRPr="00093FC5">
        <w:rPr>
          <w:rFonts w:ascii="Century Gothic" w:hAnsi="Century Gothic"/>
          <w:sz w:val="22"/>
          <w:szCs w:val="22"/>
          <w:vertAlign w:val="superscript"/>
          <w:lang w:val="pt-PT"/>
        </w:rPr>
        <w:t>2</w:t>
      </w:r>
    </w:p>
    <w:p w14:paraId="51A562B1" w14:textId="19E353DF" w:rsidR="008A2356" w:rsidRPr="00093FC5" w:rsidRDefault="008A2356" w:rsidP="002D363F">
      <w:pPr>
        <w:pStyle w:val="Default"/>
        <w:spacing w:after="160" w:line="278" w:lineRule="auto"/>
        <w:jc w:val="both"/>
        <w:rPr>
          <w:rFonts w:ascii="Century Gothic" w:hAnsi="Century Gothic"/>
          <w:sz w:val="22"/>
          <w:szCs w:val="22"/>
          <w:lang w:val="pt-PT"/>
        </w:rPr>
      </w:pPr>
      <w:r w:rsidRPr="00093FC5">
        <w:rPr>
          <w:rFonts w:ascii="Century Gothic" w:hAnsi="Century Gothic"/>
          <w:sz w:val="22"/>
          <w:szCs w:val="22"/>
          <w:lang w:val="pt-PT"/>
        </w:rPr>
        <w:t>Em termos moleculares o CE pode ser classificado em 4 subtipos. As alterações moleculares que caracterizam estes subtipos contribuem para um aumento do risco de CE representando um passo fundamental para o diagnóstico e tomada de decisões clínicas.</w:t>
      </w:r>
      <w:r w:rsidR="000243DF" w:rsidRPr="00093FC5">
        <w:rPr>
          <w:rFonts w:ascii="Century Gothic" w:hAnsi="Century Gothic"/>
          <w:sz w:val="22"/>
          <w:szCs w:val="22"/>
          <w:vertAlign w:val="superscript"/>
          <w:lang w:val="pt-PT"/>
        </w:rPr>
        <w:t>3</w:t>
      </w:r>
    </w:p>
    <w:p w14:paraId="50C7F4D2" w14:textId="00DEA4AA" w:rsidR="008A2356" w:rsidRPr="00093FC5" w:rsidRDefault="008A2356" w:rsidP="002D363F">
      <w:pPr>
        <w:pStyle w:val="Default"/>
        <w:spacing w:after="160" w:line="278" w:lineRule="auto"/>
        <w:ind w:left="720"/>
        <w:jc w:val="both"/>
        <w:rPr>
          <w:rFonts w:ascii="Century Gothic" w:hAnsi="Century Gothic"/>
          <w:sz w:val="22"/>
          <w:szCs w:val="22"/>
          <w:lang w:val="pt-PT"/>
        </w:rPr>
      </w:pPr>
      <w:r w:rsidRPr="00093FC5">
        <w:rPr>
          <w:rFonts w:ascii="Century Gothic" w:hAnsi="Century Gothic"/>
          <w:sz w:val="22"/>
          <w:szCs w:val="22"/>
          <w:lang w:val="pt-PT"/>
        </w:rPr>
        <w:t>1- Deficiência de reparação de erros de emparelhamento (</w:t>
      </w:r>
      <w:r w:rsidRPr="00093FC5">
        <w:rPr>
          <w:rFonts w:ascii="Century Gothic" w:hAnsi="Century Gothic"/>
          <w:i/>
          <w:iCs/>
          <w:sz w:val="22"/>
          <w:szCs w:val="22"/>
          <w:lang w:val="pt-PT"/>
        </w:rPr>
        <w:t xml:space="preserve">mismatch repair </w:t>
      </w:r>
      <w:r w:rsidRPr="00093FC5">
        <w:rPr>
          <w:rFonts w:ascii="Century Gothic" w:hAnsi="Century Gothic"/>
          <w:sz w:val="22"/>
          <w:szCs w:val="22"/>
          <w:lang w:val="pt-PT"/>
        </w:rPr>
        <w:t>deficiente</w:t>
      </w:r>
      <w:r w:rsidR="00093FC5" w:rsidRPr="00093FC5">
        <w:rPr>
          <w:rFonts w:ascii="Century Gothic" w:hAnsi="Century Gothic"/>
          <w:sz w:val="22"/>
          <w:szCs w:val="22"/>
          <w:lang w:val="pt-PT"/>
        </w:rPr>
        <w:t xml:space="preserve"> </w:t>
      </w:r>
      <w:r w:rsidRPr="00093FC5">
        <w:rPr>
          <w:rFonts w:ascii="Century Gothic" w:hAnsi="Century Gothic"/>
          <w:sz w:val="22"/>
          <w:szCs w:val="22"/>
          <w:lang w:val="pt-PT"/>
        </w:rPr>
        <w:t>-</w:t>
      </w:r>
      <w:r w:rsidR="00093FC5" w:rsidRPr="00093FC5">
        <w:rPr>
          <w:rFonts w:ascii="Century Gothic" w:hAnsi="Century Gothic"/>
          <w:sz w:val="22"/>
          <w:szCs w:val="22"/>
          <w:lang w:val="pt-PT"/>
        </w:rPr>
        <w:t xml:space="preserve"> </w:t>
      </w:r>
      <w:r w:rsidRPr="00093FC5">
        <w:rPr>
          <w:rFonts w:ascii="Century Gothic" w:hAnsi="Century Gothic"/>
          <w:sz w:val="22"/>
          <w:szCs w:val="22"/>
          <w:lang w:val="pt-PT"/>
        </w:rPr>
        <w:t xml:space="preserve">dMMR); </w:t>
      </w:r>
    </w:p>
    <w:p w14:paraId="2207F1EF" w14:textId="77777777" w:rsidR="008A2356" w:rsidRPr="00093FC5" w:rsidRDefault="008A2356" w:rsidP="002D363F">
      <w:pPr>
        <w:pStyle w:val="Default"/>
        <w:spacing w:after="160" w:line="278" w:lineRule="auto"/>
        <w:ind w:left="720"/>
        <w:jc w:val="both"/>
        <w:rPr>
          <w:rFonts w:ascii="Century Gothic" w:hAnsi="Century Gothic"/>
          <w:sz w:val="22"/>
          <w:szCs w:val="22"/>
          <w:lang w:val="pt-PT"/>
        </w:rPr>
      </w:pPr>
      <w:r w:rsidRPr="00093FC5">
        <w:rPr>
          <w:rFonts w:ascii="Century Gothic" w:hAnsi="Century Gothic"/>
          <w:sz w:val="22"/>
          <w:szCs w:val="22"/>
          <w:lang w:val="pt-PT"/>
        </w:rPr>
        <w:t xml:space="preserve">2- Mutação patogénica na DNA polimerase (POLE </w:t>
      </w:r>
      <w:r w:rsidRPr="00093FC5">
        <w:rPr>
          <w:rFonts w:ascii="Century Gothic" w:hAnsi="Century Gothic"/>
          <w:i/>
          <w:iCs/>
          <w:sz w:val="22"/>
          <w:szCs w:val="22"/>
          <w:lang w:val="pt-PT"/>
        </w:rPr>
        <w:t>mutation</w:t>
      </w:r>
      <w:r w:rsidRPr="00093FC5">
        <w:rPr>
          <w:rFonts w:ascii="Century Gothic" w:hAnsi="Century Gothic"/>
          <w:sz w:val="22"/>
          <w:szCs w:val="22"/>
          <w:lang w:val="pt-PT"/>
        </w:rPr>
        <w:t xml:space="preserve">); </w:t>
      </w:r>
    </w:p>
    <w:p w14:paraId="25D928E7" w14:textId="77777777" w:rsidR="008A2356" w:rsidRPr="00093FC5" w:rsidRDefault="008A2356" w:rsidP="002D363F">
      <w:pPr>
        <w:pStyle w:val="Default"/>
        <w:spacing w:after="160" w:line="278" w:lineRule="auto"/>
        <w:ind w:left="720"/>
        <w:jc w:val="both"/>
        <w:rPr>
          <w:rFonts w:ascii="Century Gothic" w:hAnsi="Century Gothic"/>
          <w:sz w:val="22"/>
          <w:szCs w:val="22"/>
          <w:lang w:val="pt-PT"/>
        </w:rPr>
      </w:pPr>
      <w:r w:rsidRPr="00093FC5">
        <w:rPr>
          <w:rFonts w:ascii="Century Gothic" w:hAnsi="Century Gothic"/>
          <w:sz w:val="22"/>
          <w:szCs w:val="22"/>
          <w:lang w:val="pt-PT"/>
        </w:rPr>
        <w:t xml:space="preserve">3- Sem perfil molecular específico; </w:t>
      </w:r>
    </w:p>
    <w:p w14:paraId="4F8D246B" w14:textId="2C76114D" w:rsidR="00445189" w:rsidRPr="00093FC5" w:rsidRDefault="008A2356" w:rsidP="002D363F">
      <w:pPr>
        <w:pStyle w:val="Default"/>
        <w:spacing w:after="160" w:line="278" w:lineRule="auto"/>
        <w:ind w:left="720"/>
        <w:jc w:val="both"/>
        <w:rPr>
          <w:rFonts w:ascii="Century Gothic" w:hAnsi="Century Gothic"/>
          <w:sz w:val="22"/>
          <w:szCs w:val="22"/>
          <w:lang w:val="pt-PT"/>
        </w:rPr>
      </w:pPr>
      <w:r w:rsidRPr="00093FC5">
        <w:rPr>
          <w:rFonts w:ascii="Century Gothic" w:hAnsi="Century Gothic"/>
          <w:sz w:val="22"/>
          <w:szCs w:val="22"/>
          <w:lang w:val="pt-PT"/>
        </w:rPr>
        <w:t xml:space="preserve">4- Expressão anormal da p53. </w:t>
      </w:r>
    </w:p>
    <w:p w14:paraId="692046E3" w14:textId="785FD17D" w:rsidR="008A2356" w:rsidRPr="00093FC5" w:rsidRDefault="008A2356" w:rsidP="002D363F">
      <w:pPr>
        <w:pStyle w:val="Default"/>
        <w:spacing w:after="160" w:line="278" w:lineRule="auto"/>
        <w:jc w:val="both"/>
        <w:rPr>
          <w:rFonts w:ascii="Century Gothic" w:hAnsi="Century Gothic"/>
          <w:sz w:val="22"/>
          <w:szCs w:val="22"/>
          <w:lang w:val="pt-PT"/>
        </w:rPr>
      </w:pPr>
      <w:r w:rsidRPr="00093FC5">
        <w:rPr>
          <w:rFonts w:ascii="Century Gothic" w:hAnsi="Century Gothic"/>
          <w:sz w:val="22"/>
          <w:szCs w:val="22"/>
          <w:lang w:val="pt-PT"/>
        </w:rPr>
        <w:t>É importante a determinação do estado de reparação de erros de emparelhamento (</w:t>
      </w:r>
      <w:r w:rsidRPr="00093FC5">
        <w:rPr>
          <w:rFonts w:ascii="Century Gothic" w:hAnsi="Century Gothic"/>
          <w:i/>
          <w:iCs/>
          <w:sz w:val="22"/>
          <w:szCs w:val="22"/>
          <w:lang w:val="pt-PT"/>
        </w:rPr>
        <w:t>mismatch repair</w:t>
      </w:r>
      <w:r w:rsidR="00093FC5" w:rsidRPr="00093FC5">
        <w:rPr>
          <w:rFonts w:ascii="Century Gothic" w:hAnsi="Century Gothic"/>
          <w:i/>
          <w:iCs/>
          <w:sz w:val="22"/>
          <w:szCs w:val="22"/>
          <w:lang w:val="pt-PT"/>
        </w:rPr>
        <w:t xml:space="preserve"> </w:t>
      </w:r>
      <w:r w:rsidRPr="00093FC5">
        <w:rPr>
          <w:rFonts w:ascii="Century Gothic" w:hAnsi="Century Gothic"/>
          <w:sz w:val="22"/>
          <w:szCs w:val="22"/>
          <w:lang w:val="pt-PT"/>
        </w:rPr>
        <w:t xml:space="preserve">- MMR), uma vez que quando há deficiência de MMR (dMMR) esta pode estar associada a uma maior instabilidade genómica e resulta numa acumulação de mutações denominadas por microssatélites que podem conduzir a um alto grau de instabilidade microssatélite (MSI-H). Uma extensa evidência tem mostrado que os tumores com o fenótipo dMMR têm regulação positiva da expressão PD-1 e PD-L1 e parecem ser mais suscetíveis a inibidores de </w:t>
      </w:r>
      <w:r w:rsidRPr="00093FC5">
        <w:rPr>
          <w:rFonts w:ascii="Century Gothic" w:hAnsi="Century Gothic"/>
          <w:i/>
          <w:iCs/>
          <w:sz w:val="22"/>
          <w:szCs w:val="22"/>
          <w:lang w:val="pt-PT"/>
        </w:rPr>
        <w:t>checkpoint</w:t>
      </w:r>
      <w:r w:rsidRPr="00093FC5">
        <w:rPr>
          <w:rFonts w:ascii="Century Gothic" w:hAnsi="Century Gothic"/>
          <w:sz w:val="22"/>
          <w:szCs w:val="22"/>
          <w:lang w:val="pt-PT"/>
        </w:rPr>
        <w:t>.</w:t>
      </w:r>
      <w:r w:rsidR="00742E60" w:rsidRPr="00093FC5">
        <w:rPr>
          <w:rFonts w:ascii="Century Gothic" w:hAnsi="Century Gothic"/>
          <w:sz w:val="22"/>
          <w:szCs w:val="22"/>
          <w:vertAlign w:val="superscript"/>
          <w:lang w:val="pt-PT"/>
        </w:rPr>
        <w:t>3</w:t>
      </w:r>
    </w:p>
    <w:p w14:paraId="164C69FA" w14:textId="4C7F43D2" w:rsidR="008A2356" w:rsidRPr="00093FC5" w:rsidRDefault="008A2356" w:rsidP="002D363F">
      <w:pPr>
        <w:pStyle w:val="Default"/>
        <w:spacing w:after="160" w:line="278" w:lineRule="auto"/>
        <w:jc w:val="both"/>
        <w:rPr>
          <w:rFonts w:ascii="Century Gothic" w:hAnsi="Century Gothic"/>
          <w:sz w:val="22"/>
          <w:szCs w:val="22"/>
          <w:lang w:val="pt-PT"/>
        </w:rPr>
      </w:pPr>
      <w:r w:rsidRPr="00093FC5">
        <w:rPr>
          <w:rFonts w:ascii="Century Gothic" w:hAnsi="Century Gothic"/>
          <w:sz w:val="22"/>
          <w:szCs w:val="22"/>
          <w:lang w:val="pt-PT"/>
        </w:rPr>
        <w:t>Em contraste, a proficiência de reparação de erros de emparelhamento (pMMR) indica que o sistema de reparação do DNA está a funcionar corretamente; no entanto, são tumores mais heterogéneos com um ambiente mais imunossupressor, o que parece estar associado a uma pior resposta à imunoterapia.</w:t>
      </w:r>
      <w:r w:rsidR="00742E60" w:rsidRPr="00093FC5">
        <w:rPr>
          <w:rFonts w:ascii="Century Gothic" w:hAnsi="Century Gothic"/>
          <w:sz w:val="22"/>
          <w:szCs w:val="22"/>
          <w:vertAlign w:val="superscript"/>
          <w:lang w:val="pt-PT"/>
        </w:rPr>
        <w:t>3</w:t>
      </w:r>
      <w:r w:rsidRPr="00093FC5">
        <w:rPr>
          <w:rFonts w:ascii="Century Gothic" w:hAnsi="Century Gothic"/>
          <w:sz w:val="22"/>
          <w:szCs w:val="22"/>
          <w:vertAlign w:val="superscript"/>
          <w:lang w:val="pt-PT"/>
        </w:rPr>
        <w:t xml:space="preserve"> </w:t>
      </w:r>
    </w:p>
    <w:p w14:paraId="670CB21A" w14:textId="60E469BA" w:rsidR="00EF422E" w:rsidRPr="00093FC5" w:rsidRDefault="00D27589" w:rsidP="002D363F">
      <w:pPr>
        <w:jc w:val="both"/>
        <w:rPr>
          <w:rFonts w:ascii="Century Gothic" w:hAnsi="Century Gothic" w:cs="Calibri"/>
          <w:color w:val="000000"/>
          <w:kern w:val="0"/>
          <w:sz w:val="22"/>
          <w:szCs w:val="22"/>
          <w:vertAlign w:val="superscript"/>
        </w:rPr>
      </w:pPr>
      <w:r w:rsidRPr="00093FC5">
        <w:rPr>
          <w:rFonts w:ascii="Century Gothic" w:hAnsi="Century Gothic"/>
          <w:sz w:val="22"/>
          <w:szCs w:val="22"/>
        </w:rPr>
        <w:lastRenderedPageBreak/>
        <w:t>Nos últimos anos, a combinação de quimioterapia à base de platina com imunoterapia emergiu como novo padrão de tratamento na doença avançada/recorrente. Ensaios de fase III demonstraram benefícios clinicamente relevantes em progressão</w:t>
      </w:r>
      <w:r w:rsidR="000845AC" w:rsidRPr="00093FC5">
        <w:rPr>
          <w:rFonts w:ascii="Century Gothic" w:hAnsi="Century Gothic"/>
          <w:sz w:val="22"/>
          <w:szCs w:val="22"/>
        </w:rPr>
        <w:t xml:space="preserve"> livre </w:t>
      </w:r>
      <w:r w:rsidR="003D1C8F" w:rsidRPr="00093FC5">
        <w:rPr>
          <w:rFonts w:ascii="Century Gothic" w:hAnsi="Century Gothic"/>
          <w:sz w:val="22"/>
          <w:szCs w:val="22"/>
        </w:rPr>
        <w:t>da doença</w:t>
      </w:r>
      <w:r w:rsidRPr="00093FC5">
        <w:rPr>
          <w:rFonts w:ascii="Century Gothic" w:hAnsi="Century Gothic"/>
          <w:sz w:val="22"/>
          <w:szCs w:val="22"/>
        </w:rPr>
        <w:t xml:space="preserve"> e</w:t>
      </w:r>
      <w:r w:rsidR="000845AC" w:rsidRPr="00093FC5">
        <w:rPr>
          <w:rFonts w:ascii="Century Gothic" w:hAnsi="Century Gothic"/>
          <w:sz w:val="22"/>
          <w:szCs w:val="22"/>
        </w:rPr>
        <w:t xml:space="preserve"> com tendência positiva </w:t>
      </w:r>
      <w:r w:rsidRPr="00093FC5">
        <w:rPr>
          <w:rFonts w:ascii="Century Gothic" w:hAnsi="Century Gothic"/>
          <w:sz w:val="22"/>
          <w:szCs w:val="22"/>
        </w:rPr>
        <w:t>em sobrevi</w:t>
      </w:r>
      <w:r w:rsidR="000845AC" w:rsidRPr="00093FC5">
        <w:rPr>
          <w:rFonts w:ascii="Century Gothic" w:hAnsi="Century Gothic"/>
          <w:sz w:val="22"/>
          <w:szCs w:val="22"/>
        </w:rPr>
        <w:t>vênci</w:t>
      </w:r>
      <w:r w:rsidRPr="00093FC5">
        <w:rPr>
          <w:rFonts w:ascii="Century Gothic" w:hAnsi="Century Gothic"/>
          <w:sz w:val="22"/>
          <w:szCs w:val="22"/>
        </w:rPr>
        <w:t xml:space="preserve">a global, particularmente marcados nos tumores </w:t>
      </w:r>
      <w:r w:rsidR="004214DD" w:rsidRPr="00093FC5">
        <w:rPr>
          <w:rFonts w:ascii="Century Gothic" w:hAnsi="Century Gothic"/>
          <w:sz w:val="22"/>
          <w:szCs w:val="22"/>
        </w:rPr>
        <w:t>d</w:t>
      </w:r>
      <w:r w:rsidRPr="00093FC5">
        <w:rPr>
          <w:rFonts w:ascii="Century Gothic" w:hAnsi="Century Gothic"/>
          <w:sz w:val="22"/>
          <w:szCs w:val="22"/>
        </w:rPr>
        <w:t>MMR</w:t>
      </w:r>
      <w:r w:rsidR="004214DD" w:rsidRPr="00093FC5">
        <w:rPr>
          <w:rFonts w:ascii="Century Gothic" w:hAnsi="Century Gothic"/>
          <w:sz w:val="22"/>
          <w:szCs w:val="22"/>
        </w:rPr>
        <w:t>. Nos tumores p</w:t>
      </w:r>
      <w:r w:rsidRPr="00093FC5">
        <w:rPr>
          <w:rFonts w:ascii="Century Gothic" w:hAnsi="Century Gothic"/>
          <w:sz w:val="22"/>
          <w:szCs w:val="22"/>
        </w:rPr>
        <w:t xml:space="preserve">MMR </w:t>
      </w:r>
      <w:r w:rsidR="004214DD" w:rsidRPr="00093FC5">
        <w:rPr>
          <w:rFonts w:ascii="Century Gothic" w:hAnsi="Century Gothic"/>
          <w:sz w:val="22"/>
          <w:szCs w:val="22"/>
        </w:rPr>
        <w:t xml:space="preserve">este benefício </w:t>
      </w:r>
      <w:r w:rsidR="007832EC" w:rsidRPr="00093FC5">
        <w:rPr>
          <w:rFonts w:ascii="Century Gothic" w:hAnsi="Century Gothic"/>
          <w:sz w:val="22"/>
          <w:szCs w:val="22"/>
        </w:rPr>
        <w:t xml:space="preserve">é demonstrado com uma magnitude inferior, o que incita à necessidade de novas abordagens terapêuticas, que passam já por </w:t>
      </w:r>
      <w:r w:rsidRPr="00093FC5">
        <w:rPr>
          <w:rFonts w:ascii="Century Gothic" w:hAnsi="Century Gothic"/>
          <w:sz w:val="22"/>
          <w:szCs w:val="22"/>
        </w:rPr>
        <w:t xml:space="preserve">estratégias de manutenção com inibidores </w:t>
      </w:r>
      <w:r w:rsidR="007832EC" w:rsidRPr="00093FC5">
        <w:rPr>
          <w:rFonts w:ascii="Century Gothic" w:hAnsi="Century Gothic"/>
          <w:sz w:val="22"/>
          <w:szCs w:val="22"/>
        </w:rPr>
        <w:t>da</w:t>
      </w:r>
      <w:r w:rsidRPr="00093FC5">
        <w:rPr>
          <w:rFonts w:ascii="Century Gothic" w:hAnsi="Century Gothic"/>
          <w:sz w:val="22"/>
          <w:szCs w:val="22"/>
        </w:rPr>
        <w:t xml:space="preserve"> PARP</w:t>
      </w:r>
      <w:r w:rsidR="00C83C58" w:rsidRPr="00093FC5">
        <w:rPr>
          <w:rFonts w:ascii="Century Gothic" w:hAnsi="Century Gothic"/>
          <w:sz w:val="22"/>
          <w:szCs w:val="22"/>
        </w:rPr>
        <w:t xml:space="preserve"> (iPARP)</w:t>
      </w:r>
      <w:r w:rsidR="007832EC" w:rsidRPr="00093FC5">
        <w:rPr>
          <w:rFonts w:ascii="Century Gothic" w:hAnsi="Century Gothic"/>
          <w:sz w:val="22"/>
          <w:szCs w:val="22"/>
        </w:rPr>
        <w:t>.</w:t>
      </w:r>
      <w:r w:rsidR="0080385F" w:rsidRPr="00093FC5">
        <w:rPr>
          <w:rFonts w:ascii="Century Gothic" w:hAnsi="Century Gothic"/>
          <w:sz w:val="22"/>
          <w:szCs w:val="22"/>
          <w:vertAlign w:val="superscript"/>
        </w:rPr>
        <w:t>4</w:t>
      </w:r>
      <w:r w:rsidR="00D47C41" w:rsidRPr="00093FC5">
        <w:rPr>
          <w:rFonts w:ascii="Century Gothic" w:hAnsi="Century Gothic"/>
          <w:sz w:val="22"/>
          <w:szCs w:val="22"/>
        </w:rPr>
        <w:t xml:space="preserve"> </w:t>
      </w:r>
      <w:r w:rsidR="000E425F" w:rsidRPr="00093FC5">
        <w:rPr>
          <w:rFonts w:ascii="Century Gothic" w:hAnsi="Century Gothic"/>
          <w:sz w:val="22"/>
          <w:szCs w:val="22"/>
        </w:rPr>
        <w:t xml:space="preserve">Em agosto de 2024, a EMA aprovou o Durvalumab em associação com carboplatina e paclitaxel para o tratamento de primeira linha de doentes adultas com cancro do endométrio primário avançado ou recorrente, seguida de tratamento de manutenção com: Durvalumab em monoterapia (dMMR); Durvalumab em associação com </w:t>
      </w:r>
      <w:r w:rsidR="00093FC5" w:rsidRPr="00093FC5">
        <w:rPr>
          <w:rFonts w:ascii="Century Gothic" w:hAnsi="Century Gothic"/>
          <w:sz w:val="22"/>
          <w:szCs w:val="22"/>
        </w:rPr>
        <w:t>O</w:t>
      </w:r>
      <w:r w:rsidR="000E425F" w:rsidRPr="00093FC5">
        <w:rPr>
          <w:rFonts w:ascii="Century Gothic" w:hAnsi="Century Gothic"/>
          <w:sz w:val="22"/>
          <w:szCs w:val="22"/>
        </w:rPr>
        <w:t>laparib (pMMR).</w:t>
      </w:r>
      <w:r w:rsidR="00EF422E" w:rsidRPr="00093FC5">
        <w:rPr>
          <w:rFonts w:ascii="Century Gothic" w:hAnsi="Century Gothic" w:cs="Calibri"/>
          <w:color w:val="000000"/>
          <w:kern w:val="0"/>
          <w:sz w:val="22"/>
          <w:szCs w:val="22"/>
          <w:vertAlign w:val="superscript"/>
        </w:rPr>
        <w:t>5</w:t>
      </w:r>
    </w:p>
    <w:p w14:paraId="76923E8A" w14:textId="2AEEE971" w:rsidR="00E01BC5" w:rsidRPr="00093FC5" w:rsidRDefault="00112D2E" w:rsidP="002D363F">
      <w:pPr>
        <w:jc w:val="both"/>
        <w:rPr>
          <w:rFonts w:ascii="Century Gothic" w:hAnsi="Century Gothic"/>
          <w:sz w:val="22"/>
          <w:szCs w:val="22"/>
          <w:vertAlign w:val="superscript"/>
        </w:rPr>
      </w:pPr>
      <w:r w:rsidRPr="00093FC5">
        <w:rPr>
          <w:rFonts w:ascii="Century Gothic" w:hAnsi="Century Gothic"/>
          <w:sz w:val="22"/>
          <w:szCs w:val="22"/>
        </w:rPr>
        <w:t xml:space="preserve">As orientações europeias mais recentes consolidam esta mudança de paradigma. As </w:t>
      </w:r>
      <w:r w:rsidRPr="00093FC5">
        <w:rPr>
          <w:rFonts w:ascii="Century Gothic" w:hAnsi="Century Gothic"/>
          <w:i/>
          <w:iCs/>
          <w:sz w:val="22"/>
          <w:szCs w:val="22"/>
        </w:rPr>
        <w:t>guidelines</w:t>
      </w:r>
      <w:r w:rsidRPr="00093FC5">
        <w:rPr>
          <w:rFonts w:ascii="Century Gothic" w:hAnsi="Century Gothic"/>
          <w:sz w:val="22"/>
          <w:szCs w:val="22"/>
        </w:rPr>
        <w:t xml:space="preserve"> da ESGO/ESTRO/ESP, publicados em </w:t>
      </w:r>
      <w:r w:rsidR="003D1C8F" w:rsidRPr="00093FC5">
        <w:rPr>
          <w:rFonts w:ascii="Century Gothic" w:hAnsi="Century Gothic"/>
          <w:sz w:val="22"/>
          <w:szCs w:val="22"/>
        </w:rPr>
        <w:t>agosto</w:t>
      </w:r>
      <w:r w:rsidRPr="00093FC5">
        <w:rPr>
          <w:rFonts w:ascii="Century Gothic" w:hAnsi="Century Gothic"/>
          <w:sz w:val="22"/>
          <w:szCs w:val="22"/>
        </w:rPr>
        <w:t xml:space="preserve"> de 2025, reconhecem a imunoterapia combinada com quimioterapia à base de platina como </w:t>
      </w:r>
      <w:r w:rsidRPr="00093FC5">
        <w:rPr>
          <w:rFonts w:ascii="Century Gothic" w:hAnsi="Century Gothic"/>
          <w:i/>
          <w:iCs/>
          <w:sz w:val="22"/>
          <w:szCs w:val="22"/>
        </w:rPr>
        <w:t>standard of care</w:t>
      </w:r>
      <w:r w:rsidRPr="00093FC5">
        <w:rPr>
          <w:rFonts w:ascii="Century Gothic" w:hAnsi="Century Gothic"/>
          <w:sz w:val="22"/>
          <w:szCs w:val="22"/>
        </w:rPr>
        <w:t xml:space="preserve"> na primeira linha de doença avançada/recorrente, atribuindo-lhe o mesmo grau de evidência entre </w:t>
      </w:r>
      <w:r w:rsidR="00E01BC5" w:rsidRPr="00093FC5">
        <w:rPr>
          <w:rFonts w:ascii="Century Gothic" w:hAnsi="Century Gothic"/>
          <w:sz w:val="22"/>
          <w:szCs w:val="22"/>
        </w:rPr>
        <w:t>as diversas imunoterapias e combinação de imunoterapia com iPARP.</w:t>
      </w:r>
      <w:r w:rsidR="0080385F" w:rsidRPr="00093FC5">
        <w:rPr>
          <w:rFonts w:ascii="Century Gothic" w:hAnsi="Century Gothic"/>
          <w:sz w:val="22"/>
          <w:szCs w:val="22"/>
          <w:vertAlign w:val="superscript"/>
        </w:rPr>
        <w:t>6</w:t>
      </w:r>
    </w:p>
    <w:p w14:paraId="3E09E0A8" w14:textId="6AC3C252" w:rsidR="00200A4C" w:rsidRPr="00093FC5" w:rsidRDefault="00DC101D" w:rsidP="00E822B2">
      <w:pPr>
        <w:jc w:val="both"/>
        <w:rPr>
          <w:rFonts w:ascii="Century Gothic" w:hAnsi="Century Gothic"/>
          <w:sz w:val="22"/>
          <w:szCs w:val="22"/>
        </w:rPr>
      </w:pPr>
      <w:r w:rsidRPr="00093FC5">
        <w:rPr>
          <w:rFonts w:ascii="Century Gothic" w:hAnsi="Century Gothic"/>
          <w:sz w:val="22"/>
          <w:szCs w:val="22"/>
        </w:rPr>
        <w:t xml:space="preserve">Tendo em conta a recente indicação destes regimes, </w:t>
      </w:r>
      <w:r w:rsidR="00A30946" w:rsidRPr="00093FC5">
        <w:rPr>
          <w:rFonts w:ascii="Century Gothic" w:hAnsi="Century Gothic"/>
          <w:sz w:val="22"/>
          <w:szCs w:val="22"/>
        </w:rPr>
        <w:t xml:space="preserve">está </w:t>
      </w:r>
      <w:r w:rsidR="003D1C8F" w:rsidRPr="00093FC5">
        <w:rPr>
          <w:rFonts w:ascii="Century Gothic" w:hAnsi="Century Gothic"/>
          <w:sz w:val="22"/>
          <w:szCs w:val="22"/>
        </w:rPr>
        <w:t>premente</w:t>
      </w:r>
      <w:r w:rsidR="00A30946" w:rsidRPr="00093FC5">
        <w:rPr>
          <w:rFonts w:ascii="Century Gothic" w:hAnsi="Century Gothic"/>
          <w:sz w:val="22"/>
          <w:szCs w:val="22"/>
        </w:rPr>
        <w:t xml:space="preserve"> a necessidade de gerar </w:t>
      </w:r>
      <w:r w:rsidR="00A644CC" w:rsidRPr="00093FC5">
        <w:rPr>
          <w:rFonts w:ascii="Century Gothic" w:hAnsi="Century Gothic"/>
          <w:sz w:val="22"/>
          <w:szCs w:val="22"/>
        </w:rPr>
        <w:t>dados de vida real sobre as doentes com carcinoma do endométrio avançado ou recorrente</w:t>
      </w:r>
      <w:r w:rsidR="00A30946" w:rsidRPr="00093FC5">
        <w:rPr>
          <w:rFonts w:ascii="Century Gothic" w:hAnsi="Century Gothic"/>
          <w:sz w:val="22"/>
          <w:szCs w:val="22"/>
        </w:rPr>
        <w:t xml:space="preserve"> em </w:t>
      </w:r>
      <w:r w:rsidR="003D1C8F" w:rsidRPr="00093FC5">
        <w:rPr>
          <w:rFonts w:ascii="Century Gothic" w:hAnsi="Century Gothic"/>
          <w:sz w:val="22"/>
          <w:szCs w:val="22"/>
        </w:rPr>
        <w:t>tratamento</w:t>
      </w:r>
      <w:r w:rsidR="000E52B0" w:rsidRPr="00093FC5">
        <w:rPr>
          <w:rFonts w:ascii="Century Gothic" w:hAnsi="Century Gothic"/>
          <w:sz w:val="22"/>
          <w:szCs w:val="22"/>
        </w:rPr>
        <w:t xml:space="preserve">. </w:t>
      </w:r>
      <w:r w:rsidR="00845461" w:rsidRPr="00093FC5">
        <w:rPr>
          <w:rFonts w:ascii="Century Gothic" w:hAnsi="Century Gothic"/>
          <w:sz w:val="22"/>
          <w:szCs w:val="22"/>
        </w:rPr>
        <w:t>É</w:t>
      </w:r>
      <w:r w:rsidR="000F75B0" w:rsidRPr="00093FC5">
        <w:rPr>
          <w:rFonts w:ascii="Century Gothic" w:hAnsi="Century Gothic"/>
          <w:sz w:val="22"/>
          <w:szCs w:val="22"/>
        </w:rPr>
        <w:t xml:space="preserve"> crucial </w:t>
      </w:r>
      <w:r w:rsidR="000E52B0" w:rsidRPr="00093FC5">
        <w:rPr>
          <w:rFonts w:ascii="Century Gothic" w:hAnsi="Century Gothic"/>
          <w:sz w:val="22"/>
          <w:szCs w:val="22"/>
        </w:rPr>
        <w:t xml:space="preserve">preencher lacunas de evidência local, </w:t>
      </w:r>
      <w:r w:rsidR="000F75B0" w:rsidRPr="00093FC5">
        <w:rPr>
          <w:rFonts w:ascii="Century Gothic" w:hAnsi="Century Gothic"/>
          <w:sz w:val="22"/>
          <w:szCs w:val="22"/>
        </w:rPr>
        <w:t>de modo a entender a adoção d</w:t>
      </w:r>
      <w:r w:rsidR="000E52B0" w:rsidRPr="00093FC5">
        <w:rPr>
          <w:rFonts w:ascii="Century Gothic" w:hAnsi="Century Gothic"/>
          <w:sz w:val="22"/>
          <w:szCs w:val="22"/>
        </w:rPr>
        <w:t xml:space="preserve">as </w:t>
      </w:r>
      <w:r w:rsidR="000F75B0" w:rsidRPr="00093FC5">
        <w:rPr>
          <w:rFonts w:ascii="Century Gothic" w:hAnsi="Century Gothic"/>
          <w:sz w:val="22"/>
          <w:szCs w:val="22"/>
        </w:rPr>
        <w:t xml:space="preserve">novas </w:t>
      </w:r>
      <w:r w:rsidR="000E52B0" w:rsidRPr="00093FC5">
        <w:rPr>
          <w:rFonts w:ascii="Century Gothic" w:hAnsi="Century Gothic"/>
          <w:i/>
          <w:iCs/>
          <w:sz w:val="22"/>
          <w:szCs w:val="22"/>
        </w:rPr>
        <w:t>guidelines</w:t>
      </w:r>
      <w:r w:rsidR="000E52B0" w:rsidRPr="00093FC5">
        <w:rPr>
          <w:rFonts w:ascii="Century Gothic" w:hAnsi="Century Gothic"/>
          <w:sz w:val="22"/>
          <w:szCs w:val="22"/>
        </w:rPr>
        <w:t xml:space="preserve"> e orientar estratégias de otimização de acesso e seleção de doentes para terap</w:t>
      </w:r>
      <w:r w:rsidR="000F75B0" w:rsidRPr="00093FC5">
        <w:rPr>
          <w:rFonts w:ascii="Century Gothic" w:hAnsi="Century Gothic"/>
          <w:sz w:val="22"/>
          <w:szCs w:val="22"/>
        </w:rPr>
        <w:t>êutica</w:t>
      </w:r>
      <w:r w:rsidR="000E52B0" w:rsidRPr="00093FC5">
        <w:rPr>
          <w:rFonts w:ascii="Century Gothic" w:hAnsi="Century Gothic"/>
          <w:sz w:val="22"/>
          <w:szCs w:val="22"/>
        </w:rPr>
        <w:t>s combinadas de indução manutenção.</w:t>
      </w:r>
    </w:p>
    <w:p w14:paraId="57A4D4FC" w14:textId="675DFE69" w:rsidR="00911982" w:rsidRPr="00093FC5" w:rsidRDefault="00911982" w:rsidP="00E822B2">
      <w:pPr>
        <w:spacing w:before="360"/>
        <w:jc w:val="both"/>
        <w:rPr>
          <w:rFonts w:ascii="Century Gothic" w:hAnsi="Century Gothic"/>
          <w:b/>
          <w:bCs/>
          <w:color w:val="66328D"/>
        </w:rPr>
      </w:pPr>
      <w:r w:rsidRPr="00093FC5">
        <w:rPr>
          <w:rFonts w:ascii="Century Gothic" w:hAnsi="Century Gothic"/>
          <w:b/>
          <w:bCs/>
          <w:color w:val="66328D"/>
        </w:rPr>
        <w:t>Objetivos</w:t>
      </w:r>
    </w:p>
    <w:p w14:paraId="509BAA0B" w14:textId="44FF2BF4" w:rsidR="0091102F" w:rsidRPr="00093FC5" w:rsidRDefault="00B37AB6" w:rsidP="00583A05">
      <w:pPr>
        <w:jc w:val="both"/>
        <w:rPr>
          <w:rFonts w:ascii="Century Gothic" w:hAnsi="Century Gothic"/>
          <w:sz w:val="22"/>
          <w:szCs w:val="22"/>
        </w:rPr>
      </w:pPr>
      <w:r w:rsidRPr="00093FC5">
        <w:rPr>
          <w:rFonts w:ascii="Century Gothic" w:hAnsi="Century Gothic"/>
          <w:sz w:val="22"/>
          <w:szCs w:val="22"/>
        </w:rPr>
        <w:t xml:space="preserve">Este projeto </w:t>
      </w:r>
      <w:r w:rsidR="009E2015" w:rsidRPr="00093FC5">
        <w:rPr>
          <w:rFonts w:ascii="Century Gothic" w:hAnsi="Century Gothic"/>
          <w:sz w:val="22"/>
          <w:szCs w:val="22"/>
        </w:rPr>
        <w:t xml:space="preserve">assenta na submissão de casos clínicos reais, </w:t>
      </w:r>
      <w:r w:rsidR="00154E65" w:rsidRPr="00093FC5">
        <w:rPr>
          <w:rFonts w:ascii="Century Gothic" w:hAnsi="Century Gothic"/>
          <w:sz w:val="22"/>
          <w:szCs w:val="22"/>
        </w:rPr>
        <w:t>com o obj</w:t>
      </w:r>
      <w:r w:rsidR="00E13F11" w:rsidRPr="00093FC5">
        <w:rPr>
          <w:rFonts w:ascii="Century Gothic" w:hAnsi="Century Gothic"/>
          <w:sz w:val="22"/>
          <w:szCs w:val="22"/>
        </w:rPr>
        <w:t>e</w:t>
      </w:r>
      <w:r w:rsidR="00154E65" w:rsidRPr="00093FC5">
        <w:rPr>
          <w:rFonts w:ascii="Century Gothic" w:hAnsi="Century Gothic"/>
          <w:sz w:val="22"/>
          <w:szCs w:val="22"/>
        </w:rPr>
        <w:t>tivo de</w:t>
      </w:r>
      <w:r w:rsidR="00F77FC8" w:rsidRPr="00093FC5">
        <w:rPr>
          <w:rFonts w:ascii="Century Gothic" w:hAnsi="Century Gothic"/>
          <w:sz w:val="22"/>
          <w:szCs w:val="22"/>
        </w:rPr>
        <w:t xml:space="preserve"> </w:t>
      </w:r>
      <w:r w:rsidR="00C07A1E" w:rsidRPr="00093FC5">
        <w:rPr>
          <w:rFonts w:ascii="Century Gothic" w:hAnsi="Century Gothic"/>
          <w:sz w:val="22"/>
          <w:szCs w:val="22"/>
        </w:rPr>
        <w:t xml:space="preserve">gerar evidência sobre </w:t>
      </w:r>
      <w:r w:rsidR="00E07212" w:rsidRPr="00093FC5">
        <w:rPr>
          <w:rFonts w:ascii="Century Gothic" w:hAnsi="Century Gothic"/>
          <w:sz w:val="22"/>
          <w:szCs w:val="22"/>
        </w:rPr>
        <w:t>o perfil das doentes com carcinoma do endométrio avançado ou recorrente em tratamento com o regime terapêutico DUO-E</w:t>
      </w:r>
      <w:r w:rsidR="00543656" w:rsidRPr="00093FC5">
        <w:rPr>
          <w:rFonts w:ascii="Century Gothic" w:hAnsi="Century Gothic"/>
          <w:sz w:val="22"/>
          <w:szCs w:val="22"/>
        </w:rPr>
        <w:t>, em Portugal</w:t>
      </w:r>
      <w:r w:rsidR="001135EB" w:rsidRPr="00093FC5">
        <w:rPr>
          <w:rFonts w:ascii="Century Gothic" w:hAnsi="Century Gothic"/>
          <w:sz w:val="22"/>
          <w:szCs w:val="22"/>
        </w:rPr>
        <w:t>. Para tal</w:t>
      </w:r>
      <w:r w:rsidR="00543656" w:rsidRPr="00093FC5">
        <w:rPr>
          <w:rFonts w:ascii="Century Gothic" w:hAnsi="Century Gothic"/>
          <w:sz w:val="22"/>
          <w:szCs w:val="22"/>
        </w:rPr>
        <w:t>,</w:t>
      </w:r>
      <w:r w:rsidR="001135EB" w:rsidRPr="00093FC5">
        <w:rPr>
          <w:rFonts w:ascii="Century Gothic" w:hAnsi="Century Gothic"/>
          <w:sz w:val="22"/>
          <w:szCs w:val="22"/>
        </w:rPr>
        <w:t xml:space="preserve"> serão recolhid</w:t>
      </w:r>
      <w:r w:rsidR="00990602" w:rsidRPr="00093FC5">
        <w:rPr>
          <w:rFonts w:ascii="Century Gothic" w:hAnsi="Century Gothic"/>
          <w:sz w:val="22"/>
          <w:szCs w:val="22"/>
        </w:rPr>
        <w:t>o</w:t>
      </w:r>
      <w:r w:rsidR="001135EB" w:rsidRPr="00093FC5">
        <w:rPr>
          <w:rFonts w:ascii="Century Gothic" w:hAnsi="Century Gothic"/>
          <w:sz w:val="22"/>
          <w:szCs w:val="22"/>
        </w:rPr>
        <w:t>s e analisad</w:t>
      </w:r>
      <w:r w:rsidR="00990602" w:rsidRPr="00093FC5">
        <w:rPr>
          <w:rFonts w:ascii="Century Gothic" w:hAnsi="Century Gothic"/>
          <w:sz w:val="22"/>
          <w:szCs w:val="22"/>
        </w:rPr>
        <w:t>o</w:t>
      </w:r>
      <w:r w:rsidR="001135EB" w:rsidRPr="00093FC5">
        <w:rPr>
          <w:rFonts w:ascii="Century Gothic" w:hAnsi="Century Gothic"/>
          <w:sz w:val="22"/>
          <w:szCs w:val="22"/>
        </w:rPr>
        <w:t xml:space="preserve">s </w:t>
      </w:r>
      <w:r w:rsidR="00990602" w:rsidRPr="00093FC5">
        <w:rPr>
          <w:rFonts w:ascii="Century Gothic" w:hAnsi="Century Gothic"/>
          <w:sz w:val="22"/>
          <w:szCs w:val="22"/>
        </w:rPr>
        <w:t xml:space="preserve">dados, tais como </w:t>
      </w:r>
      <w:r w:rsidR="00E07212" w:rsidRPr="00093FC5">
        <w:rPr>
          <w:rFonts w:ascii="Century Gothic" w:hAnsi="Century Gothic"/>
          <w:sz w:val="22"/>
          <w:szCs w:val="22"/>
        </w:rPr>
        <w:t>caracter</w:t>
      </w:r>
      <w:r w:rsidR="00E07212" w:rsidRPr="00093FC5">
        <w:rPr>
          <w:rFonts w:ascii="Century Gothic" w:hAnsi="Century Gothic" w:cs="Aptos Display"/>
          <w:sz w:val="22"/>
          <w:szCs w:val="22"/>
        </w:rPr>
        <w:t>í</w:t>
      </w:r>
      <w:r w:rsidR="00E07212" w:rsidRPr="00093FC5">
        <w:rPr>
          <w:rFonts w:ascii="Century Gothic" w:hAnsi="Century Gothic"/>
          <w:sz w:val="22"/>
          <w:szCs w:val="22"/>
        </w:rPr>
        <w:t>sticas demogr</w:t>
      </w:r>
      <w:r w:rsidR="00E07212" w:rsidRPr="00093FC5">
        <w:rPr>
          <w:rFonts w:ascii="Century Gothic" w:hAnsi="Century Gothic" w:cs="Aptos Display"/>
          <w:sz w:val="22"/>
          <w:szCs w:val="22"/>
        </w:rPr>
        <w:t>á</w:t>
      </w:r>
      <w:r w:rsidR="00E07212" w:rsidRPr="00093FC5">
        <w:rPr>
          <w:rFonts w:ascii="Century Gothic" w:hAnsi="Century Gothic"/>
          <w:sz w:val="22"/>
          <w:szCs w:val="22"/>
        </w:rPr>
        <w:t>ficas, cl</w:t>
      </w:r>
      <w:r w:rsidR="00E07212" w:rsidRPr="00093FC5">
        <w:rPr>
          <w:rFonts w:ascii="Century Gothic" w:hAnsi="Century Gothic" w:cs="Aptos Display"/>
          <w:sz w:val="22"/>
          <w:szCs w:val="22"/>
        </w:rPr>
        <w:t>í</w:t>
      </w:r>
      <w:r w:rsidR="00E07212" w:rsidRPr="00093FC5">
        <w:rPr>
          <w:rFonts w:ascii="Century Gothic" w:hAnsi="Century Gothic"/>
          <w:sz w:val="22"/>
          <w:szCs w:val="22"/>
        </w:rPr>
        <w:t>nicas, anatomopatol</w:t>
      </w:r>
      <w:r w:rsidR="00E07212" w:rsidRPr="00093FC5">
        <w:rPr>
          <w:rFonts w:ascii="Century Gothic" w:hAnsi="Century Gothic" w:cs="Aptos Display"/>
          <w:sz w:val="22"/>
          <w:szCs w:val="22"/>
        </w:rPr>
        <w:t>ó</w:t>
      </w:r>
      <w:r w:rsidR="00E07212" w:rsidRPr="00093FC5">
        <w:rPr>
          <w:rFonts w:ascii="Century Gothic" w:hAnsi="Century Gothic"/>
          <w:sz w:val="22"/>
          <w:szCs w:val="22"/>
        </w:rPr>
        <w:t>gicas e moleculares, bem como padr</w:t>
      </w:r>
      <w:r w:rsidR="00E07212" w:rsidRPr="00093FC5">
        <w:rPr>
          <w:rFonts w:ascii="Century Gothic" w:hAnsi="Century Gothic" w:cs="Aptos Display"/>
          <w:sz w:val="22"/>
          <w:szCs w:val="22"/>
        </w:rPr>
        <w:t>õ</w:t>
      </w:r>
      <w:r w:rsidR="00E07212" w:rsidRPr="00093FC5">
        <w:rPr>
          <w:rFonts w:ascii="Century Gothic" w:hAnsi="Century Gothic"/>
          <w:sz w:val="22"/>
          <w:szCs w:val="22"/>
        </w:rPr>
        <w:t>es de utiliza</w:t>
      </w:r>
      <w:r w:rsidR="00E07212" w:rsidRPr="00093FC5">
        <w:rPr>
          <w:rFonts w:ascii="Century Gothic" w:hAnsi="Century Gothic" w:cs="Aptos Display"/>
          <w:sz w:val="22"/>
          <w:szCs w:val="22"/>
        </w:rPr>
        <w:t>çã</w:t>
      </w:r>
      <w:r w:rsidR="00E07212" w:rsidRPr="00093FC5">
        <w:rPr>
          <w:rFonts w:ascii="Century Gothic" w:hAnsi="Century Gothic"/>
          <w:sz w:val="22"/>
          <w:szCs w:val="22"/>
        </w:rPr>
        <w:t>o do regime e respetiva tolerabilidade.</w:t>
      </w:r>
      <w:r w:rsidR="00C07A1E" w:rsidRPr="00093FC5">
        <w:rPr>
          <w:rFonts w:ascii="Century Gothic" w:hAnsi="Century Gothic"/>
          <w:sz w:val="22"/>
          <w:szCs w:val="22"/>
        </w:rPr>
        <w:t xml:space="preserve"> </w:t>
      </w:r>
    </w:p>
    <w:p w14:paraId="0C3D91FF" w14:textId="516CB523" w:rsidR="007A7DB7" w:rsidRPr="00093FC5" w:rsidRDefault="005C7F9E" w:rsidP="00583A05">
      <w:pPr>
        <w:jc w:val="both"/>
        <w:rPr>
          <w:rFonts w:ascii="Century Gothic" w:hAnsi="Century Gothic"/>
          <w:sz w:val="22"/>
          <w:szCs w:val="22"/>
        </w:rPr>
      </w:pPr>
      <w:r w:rsidRPr="00093FC5">
        <w:rPr>
          <w:rFonts w:ascii="Century Gothic" w:hAnsi="Century Gothic"/>
          <w:sz w:val="22"/>
          <w:szCs w:val="22"/>
        </w:rPr>
        <w:t xml:space="preserve">Esta caracterização é crucial para </w:t>
      </w:r>
      <w:r w:rsidR="005C5187" w:rsidRPr="00093FC5">
        <w:rPr>
          <w:rFonts w:ascii="Century Gothic" w:hAnsi="Century Gothic"/>
          <w:sz w:val="22"/>
          <w:szCs w:val="22"/>
        </w:rPr>
        <w:t>compreender as características da população em tratamento com o regime DUO-E</w:t>
      </w:r>
      <w:r w:rsidR="00CF4767" w:rsidRPr="00093FC5">
        <w:rPr>
          <w:rFonts w:ascii="Century Gothic" w:hAnsi="Century Gothic"/>
          <w:sz w:val="22"/>
          <w:szCs w:val="22"/>
        </w:rPr>
        <w:t>, de acordo com o seu perfil molecular,</w:t>
      </w:r>
      <w:r w:rsidR="005C5187" w:rsidRPr="00093FC5">
        <w:rPr>
          <w:rFonts w:ascii="Century Gothic" w:hAnsi="Century Gothic"/>
          <w:sz w:val="22"/>
          <w:szCs w:val="22"/>
        </w:rPr>
        <w:t xml:space="preserve"> e </w:t>
      </w:r>
      <w:r w:rsidRPr="00093FC5">
        <w:rPr>
          <w:rFonts w:ascii="Century Gothic" w:hAnsi="Century Gothic"/>
          <w:sz w:val="22"/>
          <w:szCs w:val="22"/>
        </w:rPr>
        <w:t xml:space="preserve">contextualizar </w:t>
      </w:r>
      <w:r w:rsidR="000E0138" w:rsidRPr="00093FC5">
        <w:rPr>
          <w:rFonts w:ascii="Century Gothic" w:hAnsi="Century Gothic"/>
          <w:sz w:val="22"/>
          <w:szCs w:val="22"/>
        </w:rPr>
        <w:t xml:space="preserve">a </w:t>
      </w:r>
      <w:r w:rsidRPr="00093FC5">
        <w:rPr>
          <w:rFonts w:ascii="Century Gothic" w:hAnsi="Century Gothic"/>
          <w:sz w:val="22"/>
          <w:szCs w:val="22"/>
        </w:rPr>
        <w:t>ef</w:t>
      </w:r>
      <w:r w:rsidR="000E0138" w:rsidRPr="00093FC5">
        <w:rPr>
          <w:rFonts w:ascii="Century Gothic" w:hAnsi="Century Gothic"/>
          <w:sz w:val="22"/>
          <w:szCs w:val="22"/>
        </w:rPr>
        <w:t xml:space="preserve">etividade </w:t>
      </w:r>
      <w:r w:rsidRPr="00093FC5">
        <w:rPr>
          <w:rFonts w:ascii="Century Gothic" w:hAnsi="Century Gothic"/>
          <w:sz w:val="22"/>
          <w:szCs w:val="22"/>
        </w:rPr>
        <w:t xml:space="preserve">e segurança </w:t>
      </w:r>
      <w:r w:rsidR="00061681" w:rsidRPr="00093FC5">
        <w:rPr>
          <w:rFonts w:ascii="Century Gothic" w:hAnsi="Century Gothic"/>
          <w:sz w:val="22"/>
          <w:szCs w:val="22"/>
        </w:rPr>
        <w:t>na prática clínica</w:t>
      </w:r>
      <w:r w:rsidR="0014757C" w:rsidRPr="00093FC5">
        <w:rPr>
          <w:rFonts w:ascii="Century Gothic" w:hAnsi="Century Gothic"/>
          <w:sz w:val="22"/>
          <w:szCs w:val="22"/>
        </w:rPr>
        <w:t>. Pretende-se</w:t>
      </w:r>
      <w:r w:rsidR="00031B25" w:rsidRPr="00093FC5">
        <w:rPr>
          <w:rFonts w:ascii="Century Gothic" w:hAnsi="Century Gothic"/>
          <w:sz w:val="22"/>
          <w:szCs w:val="22"/>
        </w:rPr>
        <w:t xml:space="preserve">, como análise </w:t>
      </w:r>
      <w:r w:rsidR="0014757C" w:rsidRPr="00093FC5">
        <w:rPr>
          <w:rFonts w:ascii="Century Gothic" w:hAnsi="Century Gothic"/>
          <w:sz w:val="22"/>
          <w:szCs w:val="22"/>
        </w:rPr>
        <w:t>explora</w:t>
      </w:r>
      <w:r w:rsidR="00031B25" w:rsidRPr="00093FC5">
        <w:rPr>
          <w:rFonts w:ascii="Century Gothic" w:hAnsi="Century Gothic"/>
          <w:sz w:val="22"/>
          <w:szCs w:val="22"/>
        </w:rPr>
        <w:t>tória, identificar</w:t>
      </w:r>
      <w:r w:rsidR="0014757C" w:rsidRPr="00093FC5">
        <w:rPr>
          <w:rFonts w:ascii="Century Gothic" w:hAnsi="Century Gothic"/>
          <w:sz w:val="22"/>
          <w:szCs w:val="22"/>
        </w:rPr>
        <w:t xml:space="preserve"> </w:t>
      </w:r>
      <w:r w:rsidR="00CF4767" w:rsidRPr="00093FC5">
        <w:rPr>
          <w:rFonts w:ascii="Century Gothic" w:hAnsi="Century Gothic"/>
          <w:sz w:val="22"/>
          <w:szCs w:val="22"/>
        </w:rPr>
        <w:t xml:space="preserve">quais </w:t>
      </w:r>
      <w:r w:rsidR="0014757C" w:rsidRPr="00093FC5">
        <w:rPr>
          <w:rFonts w:ascii="Century Gothic" w:hAnsi="Century Gothic"/>
          <w:sz w:val="22"/>
          <w:szCs w:val="22"/>
        </w:rPr>
        <w:t xml:space="preserve">as </w:t>
      </w:r>
      <w:r w:rsidR="00CF4767" w:rsidRPr="00093FC5">
        <w:rPr>
          <w:rFonts w:ascii="Century Gothic" w:hAnsi="Century Gothic"/>
          <w:sz w:val="22"/>
          <w:szCs w:val="22"/>
        </w:rPr>
        <w:t>doentes que pode</w:t>
      </w:r>
      <w:r w:rsidR="000F15C8" w:rsidRPr="00093FC5">
        <w:rPr>
          <w:rFonts w:ascii="Century Gothic" w:hAnsi="Century Gothic"/>
          <w:sz w:val="22"/>
          <w:szCs w:val="22"/>
        </w:rPr>
        <w:t>rão</w:t>
      </w:r>
      <w:r w:rsidR="00CF4767" w:rsidRPr="00093FC5">
        <w:rPr>
          <w:rFonts w:ascii="Century Gothic" w:hAnsi="Century Gothic"/>
          <w:sz w:val="22"/>
          <w:szCs w:val="22"/>
        </w:rPr>
        <w:t xml:space="preserve"> beneficiar mais de estratégias de manutenção com iPARP ou</w:t>
      </w:r>
      <w:r w:rsidR="000F15C8" w:rsidRPr="00093FC5">
        <w:rPr>
          <w:rFonts w:ascii="Century Gothic" w:hAnsi="Century Gothic"/>
          <w:sz w:val="22"/>
          <w:szCs w:val="22"/>
        </w:rPr>
        <w:t xml:space="preserve"> com</w:t>
      </w:r>
      <w:r w:rsidR="00CF4767" w:rsidRPr="00093FC5">
        <w:rPr>
          <w:rFonts w:ascii="Century Gothic" w:hAnsi="Century Gothic"/>
          <w:sz w:val="22"/>
          <w:szCs w:val="22"/>
        </w:rPr>
        <w:t xml:space="preserve"> imunoterapia, </w:t>
      </w:r>
      <w:r w:rsidR="000F15C8" w:rsidRPr="00093FC5">
        <w:rPr>
          <w:rFonts w:ascii="Century Gothic" w:hAnsi="Century Gothic"/>
          <w:sz w:val="22"/>
          <w:szCs w:val="22"/>
        </w:rPr>
        <w:t>e</w:t>
      </w:r>
      <w:r w:rsidR="00CF4767" w:rsidRPr="00093FC5">
        <w:rPr>
          <w:rFonts w:ascii="Century Gothic" w:hAnsi="Century Gothic"/>
          <w:sz w:val="22"/>
          <w:szCs w:val="22"/>
        </w:rPr>
        <w:t xml:space="preserve"> caracterizar fatores clínicos e biomarc</w:t>
      </w:r>
      <w:r w:rsidR="00611B9C" w:rsidRPr="00093FC5">
        <w:rPr>
          <w:rFonts w:ascii="Century Gothic" w:hAnsi="Century Gothic"/>
          <w:sz w:val="22"/>
          <w:szCs w:val="22"/>
        </w:rPr>
        <w:t xml:space="preserve">adores </w:t>
      </w:r>
      <w:r w:rsidR="00CF4767" w:rsidRPr="00093FC5">
        <w:rPr>
          <w:rFonts w:ascii="Century Gothic" w:hAnsi="Century Gothic"/>
          <w:sz w:val="22"/>
          <w:szCs w:val="22"/>
        </w:rPr>
        <w:t>preditivos</w:t>
      </w:r>
      <w:r w:rsidR="007A4575" w:rsidRPr="00093FC5">
        <w:rPr>
          <w:rFonts w:ascii="Century Gothic" w:hAnsi="Century Gothic"/>
          <w:sz w:val="22"/>
          <w:szCs w:val="22"/>
        </w:rPr>
        <w:t xml:space="preserve"> que possam </w:t>
      </w:r>
      <w:r w:rsidR="00061681" w:rsidRPr="00093FC5">
        <w:rPr>
          <w:rFonts w:ascii="Century Gothic" w:hAnsi="Century Gothic"/>
          <w:sz w:val="22"/>
          <w:szCs w:val="22"/>
        </w:rPr>
        <w:t xml:space="preserve">apoiar </w:t>
      </w:r>
      <w:r w:rsidRPr="00093FC5">
        <w:rPr>
          <w:rFonts w:ascii="Century Gothic" w:hAnsi="Century Gothic"/>
          <w:sz w:val="22"/>
          <w:szCs w:val="22"/>
        </w:rPr>
        <w:t>decisões</w:t>
      </w:r>
      <w:r w:rsidR="007A4575" w:rsidRPr="00093FC5">
        <w:rPr>
          <w:rFonts w:ascii="Century Gothic" w:hAnsi="Century Gothic"/>
          <w:sz w:val="22"/>
          <w:szCs w:val="22"/>
        </w:rPr>
        <w:t xml:space="preserve"> </w:t>
      </w:r>
      <w:r w:rsidR="003D1C8F" w:rsidRPr="00093FC5">
        <w:rPr>
          <w:rFonts w:ascii="Century Gothic" w:hAnsi="Century Gothic"/>
          <w:sz w:val="22"/>
          <w:szCs w:val="22"/>
        </w:rPr>
        <w:t>clínicas</w:t>
      </w:r>
      <w:r w:rsidR="00061681" w:rsidRPr="00093FC5">
        <w:rPr>
          <w:rFonts w:ascii="Century Gothic" w:hAnsi="Century Gothic"/>
          <w:sz w:val="22"/>
          <w:szCs w:val="22"/>
        </w:rPr>
        <w:t xml:space="preserve"> informadas</w:t>
      </w:r>
      <w:r w:rsidR="004B1AA6" w:rsidRPr="00093FC5">
        <w:rPr>
          <w:rFonts w:ascii="Century Gothic" w:hAnsi="Century Gothic"/>
          <w:sz w:val="22"/>
          <w:szCs w:val="22"/>
        </w:rPr>
        <w:t>.</w:t>
      </w:r>
    </w:p>
    <w:p w14:paraId="154AD5B1" w14:textId="77777777" w:rsidR="00E822B2" w:rsidRPr="00093FC5" w:rsidRDefault="00E822B2" w:rsidP="00E822B2">
      <w:pPr>
        <w:spacing w:before="360"/>
        <w:jc w:val="both"/>
        <w:rPr>
          <w:rFonts w:ascii="Century Gothic" w:hAnsi="Century Gothic"/>
          <w:sz w:val="22"/>
          <w:szCs w:val="22"/>
        </w:rPr>
      </w:pPr>
    </w:p>
    <w:p w14:paraId="4B7EFBE5" w14:textId="0E4F5A60" w:rsidR="007A7DB7" w:rsidRPr="00093FC5" w:rsidRDefault="007A7DB7" w:rsidP="00E822B2">
      <w:pPr>
        <w:spacing w:before="360"/>
        <w:jc w:val="both"/>
        <w:rPr>
          <w:rFonts w:ascii="Century Gothic" w:hAnsi="Century Gothic"/>
          <w:b/>
          <w:bCs/>
          <w:color w:val="66328D"/>
        </w:rPr>
      </w:pPr>
      <w:r w:rsidRPr="00093FC5">
        <w:rPr>
          <w:rFonts w:ascii="Century Gothic" w:hAnsi="Century Gothic"/>
          <w:b/>
          <w:bCs/>
          <w:color w:val="66328D"/>
        </w:rPr>
        <w:lastRenderedPageBreak/>
        <w:t>Metodologia</w:t>
      </w:r>
    </w:p>
    <w:p w14:paraId="58EF0325" w14:textId="06B5EDAD" w:rsidR="000441C9" w:rsidRDefault="000441C9" w:rsidP="000441C9">
      <w:pPr>
        <w:jc w:val="both"/>
        <w:rPr>
          <w:rFonts w:ascii="Century Gothic" w:hAnsi="Century Gothic"/>
          <w:sz w:val="22"/>
          <w:szCs w:val="22"/>
        </w:rPr>
      </w:pPr>
      <w:r w:rsidRPr="00093FC5">
        <w:rPr>
          <w:rFonts w:ascii="Century Gothic" w:hAnsi="Century Gothic"/>
          <w:sz w:val="22"/>
          <w:szCs w:val="22"/>
        </w:rPr>
        <w:t>Estudo observacional</w:t>
      </w:r>
      <w:r w:rsidR="00CD4C33" w:rsidRPr="00093FC5">
        <w:rPr>
          <w:rFonts w:ascii="Century Gothic" w:hAnsi="Century Gothic"/>
          <w:sz w:val="22"/>
          <w:szCs w:val="22"/>
        </w:rPr>
        <w:t xml:space="preserve"> e </w:t>
      </w:r>
      <w:r w:rsidRPr="00093FC5">
        <w:rPr>
          <w:rFonts w:ascii="Century Gothic" w:hAnsi="Century Gothic"/>
          <w:sz w:val="22"/>
          <w:szCs w:val="22"/>
        </w:rPr>
        <w:t xml:space="preserve">multicêntrico baseado na submissão de casos clínicos reais de </w:t>
      </w:r>
      <w:r w:rsidRPr="00093FC5">
        <w:rPr>
          <w:rFonts w:ascii="Century Gothic" w:hAnsi="Century Gothic"/>
          <w:b/>
          <w:bCs/>
          <w:sz w:val="22"/>
          <w:szCs w:val="22"/>
        </w:rPr>
        <w:t xml:space="preserve">doentes </w:t>
      </w:r>
      <w:r w:rsidR="00CD4C33" w:rsidRPr="00093FC5">
        <w:rPr>
          <w:rFonts w:ascii="Century Gothic" w:hAnsi="Century Gothic"/>
          <w:b/>
          <w:bCs/>
          <w:sz w:val="22"/>
          <w:szCs w:val="22"/>
        </w:rPr>
        <w:t>adultas</w:t>
      </w:r>
      <w:r w:rsidR="00AF6A3F" w:rsidRPr="00093FC5">
        <w:rPr>
          <w:rFonts w:ascii="Century Gothic" w:hAnsi="Century Gothic"/>
          <w:sz w:val="22"/>
          <w:szCs w:val="22"/>
        </w:rPr>
        <w:t xml:space="preserve"> </w:t>
      </w:r>
      <w:r w:rsidR="00AF6A3F" w:rsidRPr="00093FC5">
        <w:rPr>
          <w:rFonts w:ascii="Century Gothic" w:hAnsi="Century Gothic"/>
          <w:sz w:val="22"/>
          <w:szCs w:val="22"/>
          <w:u w:val="single"/>
        </w:rPr>
        <w:t>E</w:t>
      </w:r>
      <w:r w:rsidR="00CD4C33" w:rsidRPr="00093FC5">
        <w:rPr>
          <w:rFonts w:ascii="Century Gothic" w:hAnsi="Century Gothic"/>
          <w:sz w:val="22"/>
          <w:szCs w:val="22"/>
        </w:rPr>
        <w:t xml:space="preserve"> </w:t>
      </w:r>
      <w:r w:rsidRPr="00093FC5">
        <w:rPr>
          <w:rFonts w:ascii="Century Gothic" w:hAnsi="Century Gothic"/>
          <w:sz w:val="22"/>
          <w:szCs w:val="22"/>
        </w:rPr>
        <w:t xml:space="preserve">com </w:t>
      </w:r>
      <w:r w:rsidR="00CD4C33" w:rsidRPr="00093FC5">
        <w:rPr>
          <w:rFonts w:ascii="Century Gothic" w:hAnsi="Century Gothic"/>
          <w:sz w:val="22"/>
          <w:szCs w:val="22"/>
        </w:rPr>
        <w:t>confirma</w:t>
      </w:r>
      <w:r w:rsidR="00CD4C33" w:rsidRPr="00093FC5">
        <w:rPr>
          <w:rFonts w:ascii="Century Gothic" w:hAnsi="Century Gothic" w:cs="Aptos Display"/>
          <w:sz w:val="22"/>
          <w:szCs w:val="22"/>
        </w:rPr>
        <w:t>çã</w:t>
      </w:r>
      <w:r w:rsidR="00CD4C33" w:rsidRPr="00093FC5">
        <w:rPr>
          <w:rFonts w:ascii="Century Gothic" w:hAnsi="Century Gothic"/>
          <w:sz w:val="22"/>
          <w:szCs w:val="22"/>
        </w:rPr>
        <w:t>o histol</w:t>
      </w:r>
      <w:r w:rsidR="00CD4C33" w:rsidRPr="00093FC5">
        <w:rPr>
          <w:rFonts w:ascii="Century Gothic" w:hAnsi="Century Gothic" w:cs="Aptos Display"/>
          <w:sz w:val="22"/>
          <w:szCs w:val="22"/>
        </w:rPr>
        <w:t>ó</w:t>
      </w:r>
      <w:r w:rsidR="00CD4C33" w:rsidRPr="00093FC5">
        <w:rPr>
          <w:rFonts w:ascii="Century Gothic" w:hAnsi="Century Gothic"/>
          <w:sz w:val="22"/>
          <w:szCs w:val="22"/>
        </w:rPr>
        <w:t>gica e molecular, quando dispon</w:t>
      </w:r>
      <w:r w:rsidR="00CD4C33" w:rsidRPr="00093FC5">
        <w:rPr>
          <w:rFonts w:ascii="Century Gothic" w:hAnsi="Century Gothic" w:cs="Aptos Display"/>
          <w:sz w:val="22"/>
          <w:szCs w:val="22"/>
        </w:rPr>
        <w:t>í</w:t>
      </w:r>
      <w:r w:rsidR="00CD4C33" w:rsidRPr="00093FC5">
        <w:rPr>
          <w:rFonts w:ascii="Century Gothic" w:hAnsi="Century Gothic"/>
          <w:sz w:val="22"/>
          <w:szCs w:val="22"/>
        </w:rPr>
        <w:t xml:space="preserve">vel, de </w:t>
      </w:r>
      <w:r w:rsidRPr="00093FC5">
        <w:rPr>
          <w:rFonts w:ascii="Century Gothic" w:hAnsi="Century Gothic"/>
          <w:b/>
          <w:bCs/>
          <w:sz w:val="22"/>
          <w:szCs w:val="22"/>
        </w:rPr>
        <w:t>carcinoma do endométrio avançado ou recorrente</w:t>
      </w:r>
      <w:r w:rsidRPr="00093FC5">
        <w:rPr>
          <w:rFonts w:ascii="Century Gothic" w:hAnsi="Century Gothic"/>
          <w:sz w:val="22"/>
          <w:szCs w:val="22"/>
        </w:rPr>
        <w:t xml:space="preserve"> </w:t>
      </w:r>
      <w:r w:rsidR="00AF6A3F" w:rsidRPr="00093FC5">
        <w:rPr>
          <w:rFonts w:ascii="Century Gothic" w:hAnsi="Century Gothic"/>
          <w:sz w:val="22"/>
          <w:szCs w:val="22"/>
          <w:u w:val="single"/>
        </w:rPr>
        <w:t>E</w:t>
      </w:r>
      <w:r w:rsidR="00CD4C33" w:rsidRPr="00093FC5">
        <w:rPr>
          <w:rFonts w:ascii="Century Gothic" w:hAnsi="Century Gothic"/>
          <w:sz w:val="22"/>
          <w:szCs w:val="22"/>
        </w:rPr>
        <w:t xml:space="preserve"> </w:t>
      </w:r>
      <w:r w:rsidRPr="00093FC5">
        <w:rPr>
          <w:rFonts w:ascii="Century Gothic" w:hAnsi="Century Gothic"/>
          <w:b/>
          <w:bCs/>
          <w:sz w:val="22"/>
          <w:szCs w:val="22"/>
        </w:rPr>
        <w:t>tratadas com o regime DUO</w:t>
      </w:r>
      <w:r w:rsidRPr="00093FC5">
        <w:rPr>
          <w:rFonts w:ascii="Cambria Math" w:hAnsi="Cambria Math" w:cs="Cambria Math"/>
          <w:b/>
          <w:bCs/>
          <w:sz w:val="22"/>
          <w:szCs w:val="22"/>
        </w:rPr>
        <w:t>‑</w:t>
      </w:r>
      <w:r w:rsidRPr="00093FC5">
        <w:rPr>
          <w:rFonts w:ascii="Century Gothic" w:hAnsi="Century Gothic"/>
          <w:b/>
          <w:bCs/>
          <w:sz w:val="22"/>
          <w:szCs w:val="22"/>
        </w:rPr>
        <w:t>E</w:t>
      </w:r>
      <w:r w:rsidR="00CD4C33" w:rsidRPr="00093FC5">
        <w:rPr>
          <w:rFonts w:ascii="Century Gothic" w:hAnsi="Century Gothic"/>
          <w:sz w:val="22"/>
          <w:szCs w:val="22"/>
        </w:rPr>
        <w:t xml:space="preserve">, </w:t>
      </w:r>
      <w:r w:rsidRPr="00093FC5">
        <w:rPr>
          <w:rFonts w:ascii="Century Gothic" w:hAnsi="Century Gothic"/>
          <w:sz w:val="22"/>
          <w:szCs w:val="22"/>
        </w:rPr>
        <w:t>em Portugal</w:t>
      </w:r>
      <w:r w:rsidR="00AF6A3F" w:rsidRPr="00093FC5">
        <w:rPr>
          <w:rFonts w:ascii="Century Gothic" w:hAnsi="Century Gothic"/>
          <w:sz w:val="22"/>
          <w:szCs w:val="22"/>
        </w:rPr>
        <w:t>,</w:t>
      </w:r>
      <w:r w:rsidR="00CD4C33" w:rsidRPr="00093FC5">
        <w:rPr>
          <w:rFonts w:ascii="Century Gothic" w:hAnsi="Century Gothic"/>
          <w:sz w:val="22"/>
          <w:szCs w:val="22"/>
        </w:rPr>
        <w:t xml:space="preserve"> desde </w:t>
      </w:r>
      <w:r w:rsidR="00611B9C" w:rsidRPr="00093FC5">
        <w:rPr>
          <w:rFonts w:ascii="Century Gothic" w:hAnsi="Century Gothic"/>
          <w:b/>
          <w:bCs/>
          <w:sz w:val="22"/>
          <w:szCs w:val="22"/>
        </w:rPr>
        <w:t>janeiro</w:t>
      </w:r>
      <w:r w:rsidR="00CD4C33" w:rsidRPr="00093FC5">
        <w:rPr>
          <w:rFonts w:ascii="Century Gothic" w:hAnsi="Century Gothic"/>
          <w:b/>
          <w:bCs/>
          <w:sz w:val="22"/>
          <w:szCs w:val="22"/>
        </w:rPr>
        <w:t xml:space="preserve"> de 2025</w:t>
      </w:r>
      <w:r w:rsidR="00CD4C33" w:rsidRPr="00093FC5">
        <w:rPr>
          <w:rFonts w:ascii="Century Gothic" w:hAnsi="Century Gothic"/>
          <w:sz w:val="22"/>
          <w:szCs w:val="22"/>
        </w:rPr>
        <w:t>.</w:t>
      </w:r>
    </w:p>
    <w:p w14:paraId="5663CAD1" w14:textId="7AB16CB6" w:rsidR="00293967" w:rsidRPr="00093FC5" w:rsidRDefault="00293967" w:rsidP="000441C9">
      <w:pPr>
        <w:jc w:val="both"/>
        <w:rPr>
          <w:rFonts w:ascii="Century Gothic" w:hAnsi="Century Gothic"/>
          <w:sz w:val="22"/>
          <w:szCs w:val="22"/>
        </w:rPr>
      </w:pPr>
      <w:r w:rsidRPr="00293967">
        <w:rPr>
          <w:rFonts w:ascii="Century Gothic" w:hAnsi="Century Gothic"/>
          <w:sz w:val="22"/>
          <w:szCs w:val="22"/>
        </w:rPr>
        <w:t>Espera</w:t>
      </w:r>
      <w:r w:rsidRPr="00293967">
        <w:rPr>
          <w:rFonts w:ascii="Cambria Math" w:hAnsi="Cambria Math" w:cs="Cambria Math"/>
          <w:sz w:val="22"/>
          <w:szCs w:val="22"/>
        </w:rPr>
        <w:t>‑</w:t>
      </w:r>
      <w:r w:rsidRPr="00293967">
        <w:rPr>
          <w:rFonts w:ascii="Century Gothic" w:hAnsi="Century Gothic"/>
          <w:sz w:val="22"/>
          <w:szCs w:val="22"/>
        </w:rPr>
        <w:t>se a participa</w:t>
      </w:r>
      <w:r w:rsidRPr="00293967">
        <w:rPr>
          <w:rFonts w:ascii="Century Gothic" w:hAnsi="Century Gothic" w:cs="Century Gothic"/>
          <w:sz w:val="22"/>
          <w:szCs w:val="22"/>
        </w:rPr>
        <w:t>çã</w:t>
      </w:r>
      <w:r w:rsidRPr="00293967">
        <w:rPr>
          <w:rFonts w:ascii="Century Gothic" w:hAnsi="Century Gothic"/>
          <w:sz w:val="22"/>
          <w:szCs w:val="22"/>
        </w:rPr>
        <w:t>o de aproximadamente 10 centros, com a inclus</w:t>
      </w:r>
      <w:r w:rsidRPr="00293967">
        <w:rPr>
          <w:rFonts w:ascii="Century Gothic" w:hAnsi="Century Gothic" w:cs="Century Gothic"/>
          <w:sz w:val="22"/>
          <w:szCs w:val="22"/>
        </w:rPr>
        <w:t>ã</w:t>
      </w:r>
      <w:r w:rsidRPr="00293967">
        <w:rPr>
          <w:rFonts w:ascii="Century Gothic" w:hAnsi="Century Gothic"/>
          <w:sz w:val="22"/>
          <w:szCs w:val="22"/>
        </w:rPr>
        <w:t>o estimada de cerca de 30 doentes no total.</w:t>
      </w:r>
    </w:p>
    <w:p w14:paraId="64588246" w14:textId="4441396C" w:rsidR="000441C9" w:rsidRPr="00093FC5" w:rsidRDefault="000441C9" w:rsidP="000441C9">
      <w:pPr>
        <w:jc w:val="both"/>
        <w:rPr>
          <w:rFonts w:ascii="Century Gothic" w:hAnsi="Century Gothic"/>
          <w:sz w:val="22"/>
          <w:szCs w:val="22"/>
        </w:rPr>
      </w:pPr>
      <w:r w:rsidRPr="00093FC5">
        <w:rPr>
          <w:rFonts w:ascii="Century Gothic" w:hAnsi="Century Gothic"/>
          <w:sz w:val="22"/>
          <w:szCs w:val="22"/>
        </w:rPr>
        <w:t xml:space="preserve">Os dados serão extraídos pelo investigador de processos clínicos eletrónicos e submetidos através da </w:t>
      </w:r>
      <w:r w:rsidR="00611B9C" w:rsidRPr="00093FC5">
        <w:rPr>
          <w:rFonts w:ascii="Century Gothic" w:hAnsi="Century Gothic"/>
          <w:sz w:val="22"/>
          <w:szCs w:val="22"/>
        </w:rPr>
        <w:t>plataforma</w:t>
      </w:r>
      <w:r w:rsidRPr="00093FC5">
        <w:rPr>
          <w:rFonts w:ascii="Century Gothic" w:hAnsi="Century Gothic"/>
          <w:sz w:val="22"/>
          <w:szCs w:val="22"/>
        </w:rPr>
        <w:t xml:space="preserve"> </w:t>
      </w:r>
      <w:r w:rsidRPr="00093FC5">
        <w:rPr>
          <w:rFonts w:ascii="Century Gothic" w:hAnsi="Century Gothic"/>
          <w:b/>
          <w:bCs/>
          <w:i/>
          <w:iCs/>
          <w:sz w:val="22"/>
          <w:szCs w:val="22"/>
        </w:rPr>
        <w:t>SHE matters</w:t>
      </w:r>
      <w:r w:rsidRPr="00093FC5">
        <w:rPr>
          <w:rFonts w:ascii="Century Gothic" w:hAnsi="Century Gothic"/>
          <w:sz w:val="22"/>
          <w:szCs w:val="22"/>
        </w:rPr>
        <w:t xml:space="preserve">, disponível no </w:t>
      </w:r>
      <w:r w:rsidRPr="00093FC5">
        <w:rPr>
          <w:rFonts w:ascii="Century Gothic" w:hAnsi="Century Gothic"/>
          <w:i/>
          <w:iCs/>
          <w:sz w:val="22"/>
          <w:szCs w:val="22"/>
        </w:rPr>
        <w:t>web</w:t>
      </w:r>
      <w:r w:rsidR="00611B9C" w:rsidRPr="00093FC5">
        <w:rPr>
          <w:rFonts w:ascii="Century Gothic" w:hAnsi="Century Gothic"/>
          <w:i/>
          <w:iCs/>
          <w:sz w:val="22"/>
          <w:szCs w:val="22"/>
        </w:rPr>
        <w:t>site</w:t>
      </w:r>
      <w:r w:rsidRPr="00093FC5">
        <w:rPr>
          <w:rFonts w:ascii="Century Gothic" w:hAnsi="Century Gothic"/>
          <w:sz w:val="22"/>
          <w:szCs w:val="22"/>
        </w:rPr>
        <w:t xml:space="preserve">: </w:t>
      </w:r>
      <w:hyperlink r:id="rId11" w:history="1">
        <w:r w:rsidR="007A7AC3" w:rsidRPr="00093FC5">
          <w:rPr>
            <w:rStyle w:val="Hyperlink"/>
            <w:rFonts w:ascii="Century Gothic" w:hAnsi="Century Gothic"/>
            <w:sz w:val="22"/>
            <w:szCs w:val="22"/>
          </w:rPr>
          <w:t>www.shematters.pt</w:t>
        </w:r>
      </w:hyperlink>
    </w:p>
    <w:p w14:paraId="1B3CE932" w14:textId="7999846E" w:rsidR="00F80A73" w:rsidRPr="00093FC5" w:rsidRDefault="00F80A73" w:rsidP="000441C9">
      <w:pPr>
        <w:jc w:val="both"/>
        <w:rPr>
          <w:rFonts w:ascii="Century Gothic" w:hAnsi="Century Gothic"/>
          <w:sz w:val="22"/>
          <w:szCs w:val="22"/>
        </w:rPr>
      </w:pPr>
      <w:r w:rsidRPr="00093FC5">
        <w:rPr>
          <w:rFonts w:ascii="Century Gothic" w:hAnsi="Century Gothic"/>
          <w:sz w:val="22"/>
          <w:szCs w:val="22"/>
        </w:rPr>
        <w:t>O estudo será conduzido de acordo com a legislação portuguesa e europeia aplicável, designadamente, de acordo com a Lei n.º 21/2014 de 16 de Abril na sua redação atual (Lei da Investigação Clínica), o Regulamento (UE) 2016/679 de 27 de Abril (Regulamento Geral sobre a Proteção de Dados ou RGPD), a Lei n.º 58/2019 de 8 de Agosto (que assegura a execução do Regulamento (UE) 2016/679) e a Lei n.º 12/2005 de 26 de Janeiro (Lei da informação genética pessoal e informação de saúde), entre outras, bem como de acordo com todas as atualizações que a referida legislação venha a sofrer, e com a regulamentação e orientações aprovadas pelas autoridades competentes.</w:t>
      </w:r>
    </w:p>
    <w:p w14:paraId="48DD1065" w14:textId="6415239F" w:rsidR="00E822B2" w:rsidRPr="00093FC5" w:rsidRDefault="00F80A73" w:rsidP="00E822B2">
      <w:pPr>
        <w:jc w:val="both"/>
        <w:rPr>
          <w:rFonts w:ascii="Century Gothic" w:hAnsi="Century Gothic"/>
          <w:sz w:val="22"/>
          <w:szCs w:val="22"/>
        </w:rPr>
      </w:pPr>
      <w:r w:rsidRPr="00093FC5">
        <w:rPr>
          <w:rFonts w:ascii="Century Gothic" w:hAnsi="Century Gothic"/>
          <w:sz w:val="22"/>
          <w:szCs w:val="22"/>
        </w:rPr>
        <w:t>O estudo será conduzido para fins de investigação científica, sujeito a garantias adequadas para os direitos e liberdades dos titulares dos dados, designadamente à adoção de medidas técnicas e organizativas que assegurem a minimização dos dados (</w:t>
      </w:r>
      <w:r w:rsidR="00B02BDF">
        <w:rPr>
          <w:rFonts w:ascii="Century Gothic" w:hAnsi="Century Gothic"/>
          <w:sz w:val="22"/>
          <w:szCs w:val="22"/>
        </w:rPr>
        <w:t>ano</w:t>
      </w:r>
      <w:r w:rsidRPr="00093FC5">
        <w:rPr>
          <w:rFonts w:ascii="Century Gothic" w:hAnsi="Century Gothic"/>
          <w:sz w:val="22"/>
          <w:szCs w:val="22"/>
        </w:rPr>
        <w:t>nimização), dando cumprimento ao art. 9º/2/j e 89º do RGPD.</w:t>
      </w:r>
    </w:p>
    <w:p w14:paraId="4E4D3D26" w14:textId="495AD280" w:rsidR="00CB54AB" w:rsidRPr="00093FC5" w:rsidRDefault="00F80A73" w:rsidP="00E822B2">
      <w:pPr>
        <w:spacing w:before="360"/>
        <w:jc w:val="both"/>
        <w:rPr>
          <w:rFonts w:ascii="Century Gothic" w:hAnsi="Century Gothic"/>
          <w:b/>
          <w:bCs/>
          <w:color w:val="66328D"/>
        </w:rPr>
      </w:pPr>
      <w:r w:rsidRPr="00093FC5">
        <w:rPr>
          <w:rFonts w:ascii="Century Gothic" w:hAnsi="Century Gothic"/>
          <w:b/>
          <w:bCs/>
          <w:color w:val="66328D"/>
        </w:rPr>
        <w:t>Recolha</w:t>
      </w:r>
      <w:r w:rsidR="00792DAA" w:rsidRPr="00093FC5">
        <w:rPr>
          <w:rFonts w:ascii="Century Gothic" w:hAnsi="Century Gothic"/>
          <w:b/>
          <w:bCs/>
          <w:color w:val="66328D"/>
        </w:rPr>
        <w:t>, Registo, Tratamento e Partilha dos Dados</w:t>
      </w:r>
    </w:p>
    <w:p w14:paraId="48604BE6" w14:textId="1B1FFABD" w:rsidR="009E3C37" w:rsidRPr="00093FC5" w:rsidRDefault="009E3C37" w:rsidP="00CB54AB">
      <w:pPr>
        <w:jc w:val="both"/>
        <w:rPr>
          <w:rFonts w:ascii="Century Gothic" w:hAnsi="Century Gothic"/>
          <w:sz w:val="22"/>
          <w:szCs w:val="22"/>
        </w:rPr>
      </w:pPr>
      <w:r w:rsidRPr="00093FC5">
        <w:rPr>
          <w:rFonts w:ascii="Century Gothic" w:hAnsi="Century Gothic"/>
          <w:sz w:val="22"/>
          <w:szCs w:val="22"/>
        </w:rPr>
        <w:t xml:space="preserve">Os </w:t>
      </w:r>
      <w:r w:rsidR="003847F1" w:rsidRPr="00093FC5">
        <w:rPr>
          <w:rFonts w:ascii="Century Gothic" w:hAnsi="Century Gothic"/>
          <w:sz w:val="22"/>
          <w:szCs w:val="22"/>
        </w:rPr>
        <w:t>dados</w:t>
      </w:r>
      <w:r w:rsidR="00C45C5F" w:rsidRPr="00093FC5">
        <w:rPr>
          <w:rFonts w:ascii="Century Gothic" w:hAnsi="Century Gothic"/>
          <w:sz w:val="22"/>
          <w:szCs w:val="22"/>
        </w:rPr>
        <w:t xml:space="preserve"> das doentes</w:t>
      </w:r>
      <w:r w:rsidR="00F42D11" w:rsidRPr="00093FC5">
        <w:rPr>
          <w:rFonts w:ascii="Century Gothic" w:hAnsi="Century Gothic"/>
          <w:sz w:val="22"/>
          <w:szCs w:val="22"/>
        </w:rPr>
        <w:t xml:space="preserve"> </w:t>
      </w:r>
      <w:r w:rsidR="00C45C5F" w:rsidRPr="00093FC5">
        <w:rPr>
          <w:rFonts w:ascii="Century Gothic" w:hAnsi="Century Gothic"/>
          <w:sz w:val="22"/>
          <w:szCs w:val="22"/>
        </w:rPr>
        <w:t xml:space="preserve">serão recolhidos de forma padronizada e uniforme, devendo ter como fonte </w:t>
      </w:r>
      <w:r w:rsidR="00F42D11" w:rsidRPr="00093FC5">
        <w:rPr>
          <w:rFonts w:ascii="Century Gothic" w:hAnsi="Century Gothic"/>
          <w:sz w:val="22"/>
          <w:szCs w:val="22"/>
        </w:rPr>
        <w:t xml:space="preserve">os </w:t>
      </w:r>
      <w:r w:rsidR="00C45C5F" w:rsidRPr="00093FC5">
        <w:rPr>
          <w:rFonts w:ascii="Century Gothic" w:hAnsi="Century Gothic"/>
          <w:sz w:val="22"/>
          <w:szCs w:val="22"/>
        </w:rPr>
        <w:t xml:space="preserve">respetivos </w:t>
      </w:r>
      <w:r w:rsidR="00F42D11" w:rsidRPr="00093FC5">
        <w:rPr>
          <w:rFonts w:ascii="Century Gothic" w:hAnsi="Century Gothic"/>
          <w:sz w:val="22"/>
          <w:szCs w:val="22"/>
        </w:rPr>
        <w:t>processos clínicos</w:t>
      </w:r>
      <w:r w:rsidR="0083582F" w:rsidRPr="00093FC5">
        <w:rPr>
          <w:rFonts w:ascii="Century Gothic" w:hAnsi="Century Gothic"/>
          <w:sz w:val="22"/>
          <w:szCs w:val="22"/>
        </w:rPr>
        <w:t>. Os casos clínicos reais serão introduzidos</w:t>
      </w:r>
      <w:r w:rsidRPr="00093FC5">
        <w:rPr>
          <w:rFonts w:ascii="Century Gothic" w:hAnsi="Century Gothic"/>
          <w:sz w:val="22"/>
          <w:szCs w:val="22"/>
        </w:rPr>
        <w:t xml:space="preserve"> </w:t>
      </w:r>
      <w:r w:rsidR="00F42D11" w:rsidRPr="00093FC5">
        <w:rPr>
          <w:rFonts w:ascii="Century Gothic" w:hAnsi="Century Gothic"/>
          <w:sz w:val="22"/>
          <w:szCs w:val="22"/>
        </w:rPr>
        <w:t>através d</w:t>
      </w:r>
      <w:r w:rsidR="0083582F" w:rsidRPr="00093FC5">
        <w:rPr>
          <w:rFonts w:ascii="Century Gothic" w:hAnsi="Century Gothic"/>
          <w:sz w:val="22"/>
          <w:szCs w:val="22"/>
        </w:rPr>
        <w:t xml:space="preserve">o preenchimento de </w:t>
      </w:r>
      <w:r w:rsidR="00F42D11" w:rsidRPr="00093FC5">
        <w:rPr>
          <w:rFonts w:ascii="Century Gothic" w:hAnsi="Century Gothic"/>
          <w:sz w:val="22"/>
          <w:szCs w:val="22"/>
        </w:rPr>
        <w:t xml:space="preserve">um formulário cedido </w:t>
      </w:r>
      <w:r w:rsidR="009237F8" w:rsidRPr="00093FC5">
        <w:rPr>
          <w:rFonts w:ascii="Century Gothic" w:hAnsi="Century Gothic"/>
          <w:sz w:val="22"/>
          <w:szCs w:val="22"/>
        </w:rPr>
        <w:t>na</w:t>
      </w:r>
      <w:r w:rsidR="00F42D11" w:rsidRPr="00093FC5">
        <w:rPr>
          <w:rFonts w:ascii="Century Gothic" w:hAnsi="Century Gothic"/>
          <w:sz w:val="22"/>
          <w:szCs w:val="22"/>
        </w:rPr>
        <w:t xml:space="preserve"> </w:t>
      </w:r>
      <w:r w:rsidRPr="00093FC5">
        <w:rPr>
          <w:rFonts w:ascii="Century Gothic" w:hAnsi="Century Gothic"/>
          <w:sz w:val="22"/>
          <w:szCs w:val="22"/>
        </w:rPr>
        <w:t xml:space="preserve">plataforma digital </w:t>
      </w:r>
      <w:hyperlink r:id="rId12" w:history="1">
        <w:r w:rsidRPr="00093FC5">
          <w:rPr>
            <w:rStyle w:val="Hyperlink"/>
            <w:rFonts w:ascii="Century Gothic" w:hAnsi="Century Gothic"/>
            <w:sz w:val="22"/>
            <w:szCs w:val="22"/>
          </w:rPr>
          <w:t>www.shematters.pt</w:t>
        </w:r>
      </w:hyperlink>
      <w:r w:rsidR="009237F8" w:rsidRPr="00093FC5">
        <w:rPr>
          <w:rFonts w:ascii="Century Gothic" w:hAnsi="Century Gothic"/>
          <w:sz w:val="22"/>
          <w:szCs w:val="22"/>
        </w:rPr>
        <w:t xml:space="preserve"> </w:t>
      </w:r>
      <w:r w:rsidR="00F42D11" w:rsidRPr="00093FC5">
        <w:rPr>
          <w:rFonts w:ascii="Century Gothic" w:hAnsi="Century Gothic"/>
          <w:sz w:val="22"/>
          <w:szCs w:val="22"/>
        </w:rPr>
        <w:t>e destinam-se exclusivamente à geração e partilha de conhecimento científico sobre o tratamento do cancro ginecológico</w:t>
      </w:r>
      <w:r w:rsidR="009237F8" w:rsidRPr="00093FC5">
        <w:rPr>
          <w:rFonts w:ascii="Century Gothic" w:hAnsi="Century Gothic"/>
          <w:sz w:val="22"/>
          <w:szCs w:val="22"/>
        </w:rPr>
        <w:t>.</w:t>
      </w:r>
    </w:p>
    <w:p w14:paraId="0D729DC4" w14:textId="14D89238" w:rsidR="006D0CAD" w:rsidRPr="00093FC5" w:rsidRDefault="006D0CAD" w:rsidP="00CB54AB">
      <w:pPr>
        <w:jc w:val="both"/>
        <w:rPr>
          <w:rFonts w:ascii="Century Gothic" w:hAnsi="Century Gothic"/>
          <w:sz w:val="22"/>
          <w:szCs w:val="22"/>
        </w:rPr>
      </w:pPr>
      <w:r w:rsidRPr="00093FC5">
        <w:rPr>
          <w:rFonts w:ascii="Century Gothic" w:hAnsi="Century Gothic"/>
          <w:sz w:val="22"/>
          <w:szCs w:val="22"/>
        </w:rPr>
        <w:t xml:space="preserve">Os </w:t>
      </w:r>
      <w:r w:rsidR="003D1C8F" w:rsidRPr="00093FC5">
        <w:rPr>
          <w:rFonts w:ascii="Century Gothic" w:hAnsi="Century Gothic"/>
          <w:sz w:val="22"/>
          <w:szCs w:val="22"/>
        </w:rPr>
        <w:t>investigadores</w:t>
      </w:r>
      <w:r w:rsidRPr="00093FC5">
        <w:rPr>
          <w:rFonts w:ascii="Century Gothic" w:hAnsi="Century Gothic"/>
          <w:sz w:val="22"/>
          <w:szCs w:val="22"/>
        </w:rPr>
        <w:t xml:space="preserve"> são responsáveis por obter e documentar o </w:t>
      </w:r>
      <w:r w:rsidR="00DD77D3" w:rsidRPr="00093FC5">
        <w:rPr>
          <w:rFonts w:ascii="Century Gothic" w:hAnsi="Century Gothic"/>
          <w:sz w:val="22"/>
          <w:szCs w:val="22"/>
        </w:rPr>
        <w:t>C</w:t>
      </w:r>
      <w:r w:rsidRPr="00093FC5">
        <w:rPr>
          <w:rFonts w:ascii="Century Gothic" w:hAnsi="Century Gothic"/>
          <w:sz w:val="22"/>
          <w:szCs w:val="22"/>
        </w:rPr>
        <w:t xml:space="preserve">onsentimento </w:t>
      </w:r>
      <w:r w:rsidR="00DD77D3" w:rsidRPr="00093FC5">
        <w:rPr>
          <w:rFonts w:ascii="Century Gothic" w:hAnsi="Century Gothic"/>
          <w:sz w:val="22"/>
          <w:szCs w:val="22"/>
        </w:rPr>
        <w:t>I</w:t>
      </w:r>
      <w:r w:rsidRPr="00093FC5">
        <w:rPr>
          <w:rFonts w:ascii="Century Gothic" w:hAnsi="Century Gothic"/>
          <w:sz w:val="22"/>
          <w:szCs w:val="22"/>
        </w:rPr>
        <w:t>nformado da doente</w:t>
      </w:r>
      <w:r w:rsidR="001F5071" w:rsidRPr="00093FC5">
        <w:rPr>
          <w:rFonts w:ascii="Century Gothic" w:hAnsi="Century Gothic"/>
          <w:sz w:val="22"/>
          <w:szCs w:val="22"/>
        </w:rPr>
        <w:t>, ou provar sua dispensa,</w:t>
      </w:r>
      <w:r w:rsidRPr="00093FC5">
        <w:rPr>
          <w:rFonts w:ascii="Century Gothic" w:hAnsi="Century Gothic"/>
          <w:sz w:val="22"/>
          <w:szCs w:val="22"/>
        </w:rPr>
        <w:t xml:space="preserve"> para a divulgação do caso na plataforma, e por obter parecer favorável da Comissão de Ética competente, ou declaração de isenção quando aplicável segundo as normas da instituição de afiliação</w:t>
      </w:r>
      <w:r w:rsidR="007643A2" w:rsidRPr="00093FC5">
        <w:rPr>
          <w:rFonts w:ascii="Century Gothic" w:hAnsi="Century Gothic"/>
          <w:sz w:val="22"/>
          <w:szCs w:val="22"/>
        </w:rPr>
        <w:t>.</w:t>
      </w:r>
    </w:p>
    <w:p w14:paraId="3AF19324" w14:textId="2E256CBA" w:rsidR="00CD4CAE" w:rsidRPr="00093FC5" w:rsidRDefault="007643A2" w:rsidP="00CB54AB">
      <w:pPr>
        <w:jc w:val="both"/>
        <w:rPr>
          <w:rFonts w:ascii="Century Gothic" w:hAnsi="Century Gothic"/>
          <w:sz w:val="22"/>
          <w:szCs w:val="22"/>
        </w:rPr>
      </w:pPr>
      <w:r w:rsidRPr="00093FC5">
        <w:rPr>
          <w:rFonts w:ascii="Century Gothic" w:hAnsi="Century Gothic"/>
          <w:sz w:val="22"/>
          <w:szCs w:val="22"/>
        </w:rPr>
        <w:t>Os dados presentes na submissão devem conter apenas a informação estritamente necessária ao objetivo educacional/científico. A informação inserida não deve permitir identificar a doente</w:t>
      </w:r>
      <w:r w:rsidR="00CD4CAE" w:rsidRPr="00093FC5">
        <w:rPr>
          <w:rFonts w:ascii="Century Gothic" w:hAnsi="Century Gothic"/>
          <w:sz w:val="22"/>
          <w:szCs w:val="22"/>
        </w:rPr>
        <w:t xml:space="preserve">, assegurando conformidade com a legislação de proteção de </w:t>
      </w:r>
      <w:r w:rsidR="00CD4CAE" w:rsidRPr="00093FC5">
        <w:rPr>
          <w:rFonts w:ascii="Century Gothic" w:hAnsi="Century Gothic"/>
          <w:sz w:val="22"/>
          <w:szCs w:val="22"/>
        </w:rPr>
        <w:lastRenderedPageBreak/>
        <w:t xml:space="preserve">dados e os requisitos das comissões de ética. A lista detalhada de variáveis a recolher </w:t>
      </w:r>
      <w:r w:rsidR="00453BEC" w:rsidRPr="00093FC5">
        <w:rPr>
          <w:rFonts w:ascii="Century Gothic" w:hAnsi="Century Gothic"/>
          <w:sz w:val="22"/>
          <w:szCs w:val="22"/>
        </w:rPr>
        <w:t>é</w:t>
      </w:r>
      <w:r w:rsidR="00CD4CAE" w:rsidRPr="00093FC5">
        <w:rPr>
          <w:rFonts w:ascii="Century Gothic" w:hAnsi="Century Gothic"/>
          <w:sz w:val="22"/>
          <w:szCs w:val="22"/>
        </w:rPr>
        <w:t xml:space="preserve"> disponibilizada </w:t>
      </w:r>
      <w:r w:rsidR="00453BEC" w:rsidRPr="00093FC5">
        <w:rPr>
          <w:rFonts w:ascii="Century Gothic" w:hAnsi="Century Gothic"/>
          <w:sz w:val="22"/>
          <w:szCs w:val="22"/>
        </w:rPr>
        <w:t>abaixo:</w:t>
      </w:r>
    </w:p>
    <w:p w14:paraId="38C6FA59" w14:textId="7BAB070D" w:rsidR="00807B3A" w:rsidRPr="00093FC5" w:rsidRDefault="003A4022" w:rsidP="00807B3A">
      <w:pPr>
        <w:pStyle w:val="ListParagraph"/>
        <w:numPr>
          <w:ilvl w:val="0"/>
          <w:numId w:val="2"/>
        </w:numPr>
        <w:jc w:val="both"/>
        <w:rPr>
          <w:rFonts w:ascii="Century Gothic" w:hAnsi="Century Gothic"/>
          <w:sz w:val="22"/>
          <w:szCs w:val="22"/>
        </w:rPr>
      </w:pPr>
      <w:r w:rsidRPr="00093FC5">
        <w:rPr>
          <w:rFonts w:ascii="Century Gothic" w:hAnsi="Century Gothic"/>
          <w:b/>
          <w:bCs/>
          <w:sz w:val="22"/>
          <w:szCs w:val="22"/>
        </w:rPr>
        <w:t>Dados demográficos e história clínica:</w:t>
      </w:r>
      <w:r w:rsidRPr="00093FC5">
        <w:rPr>
          <w:rFonts w:ascii="Century Gothic" w:hAnsi="Century Gothic"/>
          <w:sz w:val="22"/>
          <w:szCs w:val="22"/>
        </w:rPr>
        <w:t xml:space="preserve"> </w:t>
      </w:r>
      <w:r w:rsidR="005B4482" w:rsidRPr="00093FC5">
        <w:rPr>
          <w:rFonts w:ascii="Century Gothic" w:hAnsi="Century Gothic"/>
          <w:sz w:val="22"/>
          <w:szCs w:val="22"/>
        </w:rPr>
        <w:t xml:space="preserve">Faixa </w:t>
      </w:r>
      <w:r w:rsidR="00792DAA" w:rsidRPr="00093FC5">
        <w:rPr>
          <w:rFonts w:ascii="Century Gothic" w:hAnsi="Century Gothic"/>
          <w:sz w:val="22"/>
          <w:szCs w:val="22"/>
        </w:rPr>
        <w:t>e</w:t>
      </w:r>
      <w:r w:rsidR="005B4482" w:rsidRPr="00093FC5">
        <w:rPr>
          <w:rFonts w:ascii="Century Gothic" w:hAnsi="Century Gothic"/>
          <w:sz w:val="22"/>
          <w:szCs w:val="22"/>
        </w:rPr>
        <w:t>tária</w:t>
      </w:r>
      <w:r w:rsidR="00807B3A" w:rsidRPr="00093FC5">
        <w:rPr>
          <w:rFonts w:ascii="Century Gothic" w:hAnsi="Century Gothic"/>
          <w:sz w:val="22"/>
          <w:szCs w:val="22"/>
        </w:rPr>
        <w:t xml:space="preserve">, Peso, Altura, </w:t>
      </w:r>
      <w:r w:rsidR="00255C93" w:rsidRPr="00093FC5">
        <w:rPr>
          <w:rFonts w:ascii="Century Gothic" w:hAnsi="Century Gothic"/>
          <w:i/>
          <w:iCs/>
          <w:sz w:val="22"/>
          <w:szCs w:val="22"/>
        </w:rPr>
        <w:t>Performance Status</w:t>
      </w:r>
      <w:r w:rsidR="00255C93" w:rsidRPr="00093FC5">
        <w:rPr>
          <w:rFonts w:ascii="Century Gothic" w:hAnsi="Century Gothic"/>
          <w:sz w:val="22"/>
          <w:szCs w:val="22"/>
        </w:rPr>
        <w:t xml:space="preserve"> (ECOG)</w:t>
      </w:r>
      <w:r w:rsidR="00807B3A" w:rsidRPr="00093FC5">
        <w:rPr>
          <w:rFonts w:ascii="Century Gothic" w:hAnsi="Century Gothic"/>
          <w:sz w:val="22"/>
          <w:szCs w:val="22"/>
        </w:rPr>
        <w:t xml:space="preserve">, Comorbilidades, </w:t>
      </w:r>
      <w:r w:rsidR="00E822B2" w:rsidRPr="00093FC5">
        <w:rPr>
          <w:rFonts w:ascii="Century Gothic" w:hAnsi="Century Gothic"/>
          <w:sz w:val="22"/>
          <w:szCs w:val="22"/>
        </w:rPr>
        <w:t>Antecedentes</w:t>
      </w:r>
      <w:r w:rsidR="00807B3A" w:rsidRPr="00093FC5">
        <w:rPr>
          <w:rFonts w:ascii="Century Gothic" w:hAnsi="Century Gothic"/>
          <w:sz w:val="22"/>
          <w:szCs w:val="22"/>
        </w:rPr>
        <w:t xml:space="preserve"> ginecológicos, Sinais e sintomas, História pessoal e familiar cancro</w:t>
      </w:r>
    </w:p>
    <w:p w14:paraId="2945587B" w14:textId="18C1A372" w:rsidR="005B4482" w:rsidRPr="00093FC5" w:rsidRDefault="00807B3A" w:rsidP="005B4482">
      <w:pPr>
        <w:pStyle w:val="ListParagraph"/>
        <w:numPr>
          <w:ilvl w:val="0"/>
          <w:numId w:val="2"/>
        </w:numPr>
        <w:jc w:val="both"/>
        <w:rPr>
          <w:rFonts w:ascii="Century Gothic" w:hAnsi="Century Gothic"/>
          <w:sz w:val="22"/>
          <w:szCs w:val="22"/>
        </w:rPr>
      </w:pPr>
      <w:r w:rsidRPr="00093FC5">
        <w:rPr>
          <w:rFonts w:ascii="Century Gothic" w:hAnsi="Century Gothic"/>
          <w:b/>
          <w:bCs/>
          <w:sz w:val="22"/>
          <w:szCs w:val="22"/>
        </w:rPr>
        <w:t>Caracterização clínica</w:t>
      </w:r>
      <w:r w:rsidR="00D841FE" w:rsidRPr="00093FC5">
        <w:rPr>
          <w:rFonts w:ascii="Century Gothic" w:hAnsi="Century Gothic"/>
          <w:b/>
          <w:bCs/>
          <w:sz w:val="22"/>
          <w:szCs w:val="22"/>
        </w:rPr>
        <w:t xml:space="preserve"> e diagnóstico</w:t>
      </w:r>
      <w:r w:rsidRPr="00093FC5">
        <w:rPr>
          <w:rFonts w:ascii="Century Gothic" w:hAnsi="Century Gothic"/>
          <w:b/>
          <w:bCs/>
          <w:sz w:val="22"/>
          <w:szCs w:val="22"/>
        </w:rPr>
        <w:t>:</w:t>
      </w:r>
      <w:r w:rsidRPr="00093FC5">
        <w:rPr>
          <w:rFonts w:ascii="Century Gothic" w:hAnsi="Century Gothic"/>
          <w:sz w:val="22"/>
          <w:szCs w:val="22"/>
        </w:rPr>
        <w:t xml:space="preserve"> </w:t>
      </w:r>
      <w:r w:rsidR="005B4482" w:rsidRPr="00093FC5">
        <w:rPr>
          <w:rFonts w:ascii="Century Gothic" w:hAnsi="Century Gothic"/>
          <w:sz w:val="22"/>
          <w:szCs w:val="22"/>
        </w:rPr>
        <w:t>Data diagnóstico</w:t>
      </w:r>
      <w:r w:rsidRPr="00093FC5">
        <w:rPr>
          <w:rFonts w:ascii="Century Gothic" w:hAnsi="Century Gothic"/>
          <w:sz w:val="22"/>
          <w:szCs w:val="22"/>
        </w:rPr>
        <w:t xml:space="preserve">, </w:t>
      </w:r>
      <w:r w:rsidR="005B4482" w:rsidRPr="00093FC5">
        <w:rPr>
          <w:rFonts w:ascii="Century Gothic" w:hAnsi="Century Gothic"/>
          <w:sz w:val="22"/>
          <w:szCs w:val="22"/>
        </w:rPr>
        <w:t>Histologia</w:t>
      </w:r>
      <w:r w:rsidRPr="00093FC5">
        <w:rPr>
          <w:rFonts w:ascii="Century Gothic" w:hAnsi="Century Gothic"/>
          <w:sz w:val="22"/>
          <w:szCs w:val="22"/>
        </w:rPr>
        <w:t xml:space="preserve">, </w:t>
      </w:r>
      <w:r w:rsidR="005B4482" w:rsidRPr="00093FC5">
        <w:rPr>
          <w:rFonts w:ascii="Century Gothic" w:hAnsi="Century Gothic"/>
          <w:sz w:val="22"/>
          <w:szCs w:val="22"/>
        </w:rPr>
        <w:t>Grau</w:t>
      </w:r>
      <w:r w:rsidRPr="00093FC5">
        <w:rPr>
          <w:rFonts w:ascii="Century Gothic" w:hAnsi="Century Gothic"/>
          <w:sz w:val="22"/>
          <w:szCs w:val="22"/>
        </w:rPr>
        <w:t xml:space="preserve">, </w:t>
      </w:r>
      <w:r w:rsidR="005B4482" w:rsidRPr="00093FC5">
        <w:rPr>
          <w:rFonts w:ascii="Century Gothic" w:hAnsi="Century Gothic"/>
          <w:sz w:val="22"/>
          <w:szCs w:val="22"/>
        </w:rPr>
        <w:t>Classificação molecular</w:t>
      </w:r>
      <w:r w:rsidRPr="00093FC5">
        <w:rPr>
          <w:rFonts w:ascii="Century Gothic" w:hAnsi="Century Gothic"/>
          <w:sz w:val="22"/>
          <w:szCs w:val="22"/>
        </w:rPr>
        <w:t xml:space="preserve">, </w:t>
      </w:r>
      <w:r w:rsidR="005B4482" w:rsidRPr="00093FC5">
        <w:rPr>
          <w:rFonts w:ascii="Century Gothic" w:hAnsi="Century Gothic"/>
          <w:sz w:val="22"/>
          <w:szCs w:val="22"/>
        </w:rPr>
        <w:t>Estadiamento (FIGO 2023)</w:t>
      </w:r>
      <w:r w:rsidRPr="00093FC5">
        <w:rPr>
          <w:rFonts w:ascii="Century Gothic" w:hAnsi="Century Gothic"/>
          <w:sz w:val="22"/>
          <w:szCs w:val="22"/>
        </w:rPr>
        <w:t xml:space="preserve">, </w:t>
      </w:r>
      <w:r w:rsidR="005B4482" w:rsidRPr="00093FC5">
        <w:rPr>
          <w:rFonts w:ascii="Century Gothic" w:hAnsi="Century Gothic"/>
          <w:sz w:val="22"/>
          <w:szCs w:val="22"/>
        </w:rPr>
        <w:t>Grupo de risco</w:t>
      </w:r>
      <w:r w:rsidRPr="00093FC5">
        <w:rPr>
          <w:rFonts w:ascii="Century Gothic" w:hAnsi="Century Gothic"/>
          <w:sz w:val="22"/>
          <w:szCs w:val="22"/>
        </w:rPr>
        <w:t>, Análises clínicas, Imag</w:t>
      </w:r>
      <w:r w:rsidR="005B4482" w:rsidRPr="00093FC5">
        <w:rPr>
          <w:rFonts w:ascii="Century Gothic" w:hAnsi="Century Gothic"/>
          <w:sz w:val="22"/>
          <w:szCs w:val="22"/>
        </w:rPr>
        <w:t>iologia</w:t>
      </w:r>
      <w:r w:rsidRPr="00093FC5">
        <w:rPr>
          <w:rFonts w:ascii="Century Gothic" w:hAnsi="Century Gothic"/>
          <w:sz w:val="22"/>
          <w:szCs w:val="22"/>
        </w:rPr>
        <w:t xml:space="preserve">, </w:t>
      </w:r>
      <w:r w:rsidR="005B4482" w:rsidRPr="00093FC5">
        <w:rPr>
          <w:rFonts w:ascii="Century Gothic" w:hAnsi="Century Gothic"/>
          <w:sz w:val="22"/>
          <w:szCs w:val="22"/>
        </w:rPr>
        <w:t>Biomarcadores</w:t>
      </w:r>
    </w:p>
    <w:p w14:paraId="367AB5F9" w14:textId="4C6725F9" w:rsidR="005B4482" w:rsidRPr="00093FC5" w:rsidRDefault="00807B3A" w:rsidP="005B4482">
      <w:pPr>
        <w:pStyle w:val="ListParagraph"/>
        <w:numPr>
          <w:ilvl w:val="0"/>
          <w:numId w:val="2"/>
        </w:numPr>
        <w:jc w:val="both"/>
        <w:rPr>
          <w:rFonts w:ascii="Century Gothic" w:hAnsi="Century Gothic"/>
          <w:sz w:val="22"/>
          <w:szCs w:val="22"/>
        </w:rPr>
      </w:pPr>
      <w:r w:rsidRPr="00093FC5">
        <w:rPr>
          <w:rFonts w:ascii="Century Gothic" w:hAnsi="Century Gothic"/>
          <w:b/>
          <w:bCs/>
          <w:sz w:val="22"/>
          <w:szCs w:val="22"/>
        </w:rPr>
        <w:t>T</w:t>
      </w:r>
      <w:r w:rsidR="00D841FE" w:rsidRPr="00093FC5">
        <w:rPr>
          <w:rFonts w:ascii="Century Gothic" w:hAnsi="Century Gothic"/>
          <w:b/>
          <w:bCs/>
          <w:sz w:val="22"/>
          <w:szCs w:val="22"/>
        </w:rPr>
        <w:t>erapêutica</w:t>
      </w:r>
      <w:r w:rsidRPr="00093FC5">
        <w:rPr>
          <w:rFonts w:ascii="Century Gothic" w:hAnsi="Century Gothic"/>
          <w:b/>
          <w:bCs/>
          <w:sz w:val="22"/>
          <w:szCs w:val="22"/>
        </w:rPr>
        <w:t>:</w:t>
      </w:r>
      <w:r w:rsidRPr="00093FC5">
        <w:rPr>
          <w:rFonts w:ascii="Century Gothic" w:hAnsi="Century Gothic"/>
          <w:sz w:val="22"/>
          <w:szCs w:val="22"/>
        </w:rPr>
        <w:t xml:space="preserve"> </w:t>
      </w:r>
      <w:r w:rsidR="005B4482" w:rsidRPr="00093FC5">
        <w:rPr>
          <w:rFonts w:ascii="Century Gothic" w:hAnsi="Century Gothic"/>
          <w:sz w:val="22"/>
          <w:szCs w:val="22"/>
        </w:rPr>
        <w:t>Cirurgia</w:t>
      </w:r>
      <w:r w:rsidRPr="00093FC5">
        <w:rPr>
          <w:rFonts w:ascii="Century Gothic" w:hAnsi="Century Gothic"/>
          <w:sz w:val="22"/>
          <w:szCs w:val="22"/>
        </w:rPr>
        <w:t xml:space="preserve">, </w:t>
      </w:r>
      <w:r w:rsidR="005B4482" w:rsidRPr="00093FC5">
        <w:rPr>
          <w:rFonts w:ascii="Century Gothic" w:hAnsi="Century Gothic"/>
          <w:sz w:val="22"/>
          <w:szCs w:val="22"/>
        </w:rPr>
        <w:t>Terapêutica adjuvante</w:t>
      </w:r>
      <w:r w:rsidRPr="00093FC5">
        <w:rPr>
          <w:rFonts w:ascii="Century Gothic" w:hAnsi="Century Gothic"/>
          <w:sz w:val="22"/>
          <w:szCs w:val="22"/>
        </w:rPr>
        <w:t xml:space="preserve"> (Q</w:t>
      </w:r>
      <w:r w:rsidR="005B4482" w:rsidRPr="00093FC5">
        <w:rPr>
          <w:rFonts w:ascii="Century Gothic" w:hAnsi="Century Gothic"/>
          <w:sz w:val="22"/>
          <w:szCs w:val="22"/>
        </w:rPr>
        <w:t>T</w:t>
      </w:r>
      <w:r w:rsidRPr="00093FC5">
        <w:rPr>
          <w:rFonts w:ascii="Century Gothic" w:hAnsi="Century Gothic"/>
          <w:sz w:val="22"/>
          <w:szCs w:val="22"/>
        </w:rPr>
        <w:t>/RT), Terapêutica sistémica</w:t>
      </w:r>
      <w:r w:rsidR="0001450F" w:rsidRPr="00093FC5">
        <w:rPr>
          <w:rFonts w:ascii="Century Gothic" w:hAnsi="Century Gothic"/>
          <w:sz w:val="22"/>
          <w:szCs w:val="22"/>
        </w:rPr>
        <w:t xml:space="preserve"> (1L: indução e manutenção; Linhas subsequentes)</w:t>
      </w:r>
      <w:r w:rsidR="00A53BD0" w:rsidRPr="00093FC5">
        <w:rPr>
          <w:rFonts w:ascii="Century Gothic" w:hAnsi="Century Gothic"/>
          <w:sz w:val="22"/>
          <w:szCs w:val="22"/>
        </w:rPr>
        <w:t>, Resposta à terapêutica</w:t>
      </w:r>
    </w:p>
    <w:p w14:paraId="4D844839" w14:textId="3BBED8B6" w:rsidR="005B4482" w:rsidRPr="00093FC5" w:rsidRDefault="00A53BD0" w:rsidP="005B4482">
      <w:pPr>
        <w:pStyle w:val="ListParagraph"/>
        <w:numPr>
          <w:ilvl w:val="0"/>
          <w:numId w:val="2"/>
        </w:numPr>
        <w:jc w:val="both"/>
        <w:rPr>
          <w:rFonts w:ascii="Century Gothic" w:hAnsi="Century Gothic"/>
          <w:sz w:val="22"/>
          <w:szCs w:val="22"/>
        </w:rPr>
      </w:pPr>
      <w:r w:rsidRPr="00093FC5">
        <w:rPr>
          <w:rFonts w:ascii="Century Gothic" w:hAnsi="Century Gothic"/>
          <w:b/>
          <w:bCs/>
          <w:sz w:val="22"/>
          <w:szCs w:val="22"/>
        </w:rPr>
        <w:t>Follow-up:</w:t>
      </w:r>
      <w:r w:rsidRPr="00093FC5">
        <w:rPr>
          <w:rFonts w:ascii="Century Gothic" w:hAnsi="Century Gothic"/>
          <w:sz w:val="22"/>
          <w:szCs w:val="22"/>
        </w:rPr>
        <w:t xml:space="preserve"> </w:t>
      </w:r>
      <w:r w:rsidR="005B4482" w:rsidRPr="00093FC5">
        <w:rPr>
          <w:rFonts w:ascii="Century Gothic" w:hAnsi="Century Gothic"/>
          <w:sz w:val="22"/>
          <w:szCs w:val="22"/>
        </w:rPr>
        <w:t>Eventos adversos</w:t>
      </w:r>
      <w:r w:rsidRPr="00093FC5">
        <w:rPr>
          <w:rFonts w:ascii="Century Gothic" w:hAnsi="Century Gothic"/>
          <w:sz w:val="22"/>
          <w:szCs w:val="22"/>
        </w:rPr>
        <w:t xml:space="preserve">, </w:t>
      </w:r>
      <w:r w:rsidR="00E822B2" w:rsidRPr="00093FC5">
        <w:rPr>
          <w:rFonts w:ascii="Century Gothic" w:hAnsi="Century Gothic"/>
          <w:sz w:val="22"/>
          <w:szCs w:val="22"/>
        </w:rPr>
        <w:t>Desfecho</w:t>
      </w:r>
    </w:p>
    <w:p w14:paraId="3CC39650" w14:textId="35B8E0CF" w:rsidR="00615BD3" w:rsidRPr="00093FC5" w:rsidRDefault="00A53BD0" w:rsidP="00615BD3">
      <w:pPr>
        <w:pStyle w:val="ListParagraph"/>
        <w:numPr>
          <w:ilvl w:val="0"/>
          <w:numId w:val="2"/>
        </w:numPr>
        <w:jc w:val="both"/>
        <w:rPr>
          <w:rFonts w:ascii="Century Gothic" w:hAnsi="Century Gothic"/>
          <w:sz w:val="22"/>
          <w:szCs w:val="22"/>
        </w:rPr>
      </w:pPr>
      <w:r w:rsidRPr="00093FC5">
        <w:rPr>
          <w:rFonts w:ascii="Century Gothic" w:hAnsi="Century Gothic"/>
          <w:b/>
          <w:bCs/>
          <w:sz w:val="22"/>
          <w:szCs w:val="22"/>
        </w:rPr>
        <w:t>Outros:</w:t>
      </w:r>
      <w:r w:rsidRPr="00093FC5">
        <w:rPr>
          <w:rFonts w:ascii="Century Gothic" w:hAnsi="Century Gothic"/>
          <w:sz w:val="22"/>
          <w:szCs w:val="22"/>
        </w:rPr>
        <w:t xml:space="preserve"> </w:t>
      </w:r>
      <w:r w:rsidR="00E4657F" w:rsidRPr="00093FC5">
        <w:rPr>
          <w:rFonts w:ascii="Century Gothic" w:hAnsi="Century Gothic"/>
          <w:sz w:val="22"/>
          <w:szCs w:val="22"/>
        </w:rPr>
        <w:t>I</w:t>
      </w:r>
      <w:r w:rsidR="00752928" w:rsidRPr="00093FC5">
        <w:rPr>
          <w:rFonts w:ascii="Century Gothic" w:hAnsi="Century Gothic"/>
          <w:sz w:val="22"/>
          <w:szCs w:val="22"/>
        </w:rPr>
        <w:t xml:space="preserve">nformação clínica relevante que não tenha sido capturada anteriormente – </w:t>
      </w:r>
      <w:r w:rsidR="00E4657F" w:rsidRPr="00093FC5">
        <w:rPr>
          <w:rFonts w:ascii="Century Gothic" w:hAnsi="Century Gothic"/>
          <w:sz w:val="22"/>
          <w:szCs w:val="22"/>
        </w:rPr>
        <w:t xml:space="preserve">captura em formato </w:t>
      </w:r>
      <w:r w:rsidR="00752928" w:rsidRPr="00093FC5">
        <w:rPr>
          <w:rFonts w:ascii="Century Gothic" w:hAnsi="Century Gothic"/>
          <w:sz w:val="22"/>
          <w:szCs w:val="22"/>
        </w:rPr>
        <w:t>campo abe</w:t>
      </w:r>
      <w:r w:rsidR="00093FC5" w:rsidRPr="00093FC5">
        <w:rPr>
          <w:rFonts w:ascii="Century Gothic" w:hAnsi="Century Gothic"/>
          <w:sz w:val="22"/>
          <w:szCs w:val="22"/>
        </w:rPr>
        <w:t>r</w:t>
      </w:r>
      <w:r w:rsidR="00752928" w:rsidRPr="00093FC5">
        <w:rPr>
          <w:rFonts w:ascii="Century Gothic" w:hAnsi="Century Gothic"/>
          <w:sz w:val="22"/>
          <w:szCs w:val="22"/>
        </w:rPr>
        <w:t>to</w:t>
      </w:r>
    </w:p>
    <w:p w14:paraId="330AE324" w14:textId="41BF9E37" w:rsidR="00AA00D0" w:rsidRPr="00093FC5" w:rsidRDefault="00615BD3" w:rsidP="00615BD3">
      <w:pPr>
        <w:jc w:val="both"/>
        <w:rPr>
          <w:rFonts w:ascii="Century Gothic" w:hAnsi="Century Gothic"/>
          <w:sz w:val="22"/>
          <w:szCs w:val="22"/>
        </w:rPr>
      </w:pPr>
      <w:r w:rsidRPr="00093FC5">
        <w:rPr>
          <w:rFonts w:ascii="Century Gothic" w:hAnsi="Century Gothic"/>
          <w:sz w:val="22"/>
          <w:szCs w:val="22"/>
        </w:rPr>
        <w:t>Os dados serão tratados pela AstraZeneca, enquanto detentora da plataforma digital, e pela empresa FLOAT, responsável pelo desenvolvimento da plataforma.</w:t>
      </w:r>
      <w:r w:rsidR="00702E79" w:rsidRPr="00093FC5">
        <w:rPr>
          <w:rFonts w:ascii="Century Gothic" w:hAnsi="Century Gothic"/>
          <w:sz w:val="22"/>
          <w:szCs w:val="22"/>
        </w:rPr>
        <w:t xml:space="preserve"> Os mesmos </w:t>
      </w:r>
      <w:r w:rsidRPr="00093FC5">
        <w:rPr>
          <w:rFonts w:ascii="Century Gothic" w:hAnsi="Century Gothic"/>
          <w:sz w:val="22"/>
          <w:szCs w:val="22"/>
        </w:rPr>
        <w:t>poderão ser acedidos pel</w:t>
      </w:r>
      <w:r w:rsidR="00803A3B" w:rsidRPr="00093FC5">
        <w:rPr>
          <w:rFonts w:ascii="Century Gothic" w:hAnsi="Century Gothic"/>
          <w:sz w:val="22"/>
          <w:szCs w:val="22"/>
        </w:rPr>
        <w:t xml:space="preserve">a Comissão Científica </w:t>
      </w:r>
      <w:r w:rsidRPr="00093FC5">
        <w:rPr>
          <w:rFonts w:ascii="Century Gothic" w:hAnsi="Century Gothic"/>
          <w:sz w:val="22"/>
          <w:szCs w:val="22"/>
        </w:rPr>
        <w:t xml:space="preserve">do projeto e pelas </w:t>
      </w:r>
      <w:r w:rsidR="00803A3B" w:rsidRPr="00093FC5">
        <w:rPr>
          <w:rFonts w:ascii="Century Gothic" w:hAnsi="Century Gothic"/>
          <w:sz w:val="22"/>
          <w:szCs w:val="22"/>
        </w:rPr>
        <w:t xml:space="preserve">Sociedades Médicas </w:t>
      </w:r>
      <w:r w:rsidRPr="00093FC5">
        <w:rPr>
          <w:rFonts w:ascii="Century Gothic" w:hAnsi="Century Gothic"/>
          <w:sz w:val="22"/>
          <w:szCs w:val="22"/>
        </w:rPr>
        <w:t>que participem na validação científica dos casos. Os dados não serão partilhados para fins comerciais. Caso haja partilha com sociedades médicas, publicação em eventos/congressos, ou transferência internacional, tal será informado e salvaguardado pela legislação em vigor.</w:t>
      </w:r>
    </w:p>
    <w:p w14:paraId="2309A731" w14:textId="0B4CAFBB" w:rsidR="00CF70EB" w:rsidRPr="00093FC5" w:rsidRDefault="00CF70EB" w:rsidP="00CF70EB">
      <w:pPr>
        <w:pStyle w:val="ListParagraph"/>
        <w:numPr>
          <w:ilvl w:val="0"/>
          <w:numId w:val="3"/>
        </w:numPr>
        <w:jc w:val="both"/>
        <w:rPr>
          <w:rFonts w:ascii="Century Gothic" w:hAnsi="Century Gothic"/>
          <w:sz w:val="22"/>
          <w:szCs w:val="22"/>
        </w:rPr>
      </w:pPr>
      <w:r w:rsidRPr="00093FC5">
        <w:rPr>
          <w:rFonts w:ascii="Century Gothic" w:hAnsi="Century Gothic"/>
          <w:sz w:val="22"/>
          <w:szCs w:val="22"/>
        </w:rPr>
        <w:t xml:space="preserve">Os dados serão registados na plataforma digital e geridos pela Float, </w:t>
      </w:r>
      <w:r w:rsidR="006A00A2" w:rsidRPr="00093FC5">
        <w:rPr>
          <w:rFonts w:ascii="Century Gothic" w:hAnsi="Century Gothic"/>
          <w:sz w:val="22"/>
          <w:szCs w:val="22"/>
        </w:rPr>
        <w:t xml:space="preserve">cumprindo a legislação em vigor e </w:t>
      </w:r>
      <w:r w:rsidRPr="00093FC5">
        <w:rPr>
          <w:rFonts w:ascii="Century Gothic" w:hAnsi="Century Gothic"/>
          <w:sz w:val="22"/>
          <w:szCs w:val="22"/>
        </w:rPr>
        <w:t xml:space="preserve">sem </w:t>
      </w:r>
      <w:r w:rsidR="006A00A2" w:rsidRPr="00093FC5">
        <w:rPr>
          <w:rFonts w:ascii="Century Gothic" w:hAnsi="Century Gothic"/>
          <w:sz w:val="22"/>
          <w:szCs w:val="22"/>
        </w:rPr>
        <w:t xml:space="preserve">conter </w:t>
      </w:r>
      <w:r w:rsidRPr="00093FC5">
        <w:rPr>
          <w:rFonts w:ascii="Century Gothic" w:hAnsi="Century Gothic"/>
          <w:sz w:val="22"/>
          <w:szCs w:val="22"/>
        </w:rPr>
        <w:t>informação que permita identificar as doentes.</w:t>
      </w:r>
    </w:p>
    <w:p w14:paraId="69555138" w14:textId="0538CCAB" w:rsidR="00BC6B52" w:rsidRPr="00093FC5" w:rsidRDefault="00CF70EB" w:rsidP="00CF70EB">
      <w:pPr>
        <w:pStyle w:val="ListParagraph"/>
        <w:numPr>
          <w:ilvl w:val="0"/>
          <w:numId w:val="3"/>
        </w:numPr>
        <w:jc w:val="both"/>
        <w:rPr>
          <w:rFonts w:ascii="Century Gothic" w:hAnsi="Century Gothic"/>
          <w:sz w:val="22"/>
          <w:szCs w:val="22"/>
        </w:rPr>
      </w:pPr>
      <w:r w:rsidRPr="00093FC5">
        <w:rPr>
          <w:rFonts w:ascii="Century Gothic" w:hAnsi="Century Gothic"/>
          <w:sz w:val="22"/>
          <w:szCs w:val="22"/>
        </w:rPr>
        <w:t>Os dados serão guardados apenas durante o tempo estritamente necessário à prossecução dos objetivos do projeto</w:t>
      </w:r>
      <w:r w:rsidR="00C8263D" w:rsidRPr="00093FC5">
        <w:rPr>
          <w:rFonts w:ascii="Century Gothic" w:hAnsi="Century Gothic"/>
          <w:sz w:val="22"/>
          <w:szCs w:val="22"/>
        </w:rPr>
        <w:t xml:space="preserve"> </w:t>
      </w:r>
      <w:r w:rsidR="00BC6B52" w:rsidRPr="00093FC5">
        <w:rPr>
          <w:rFonts w:ascii="Century Gothic" w:hAnsi="Century Gothic"/>
          <w:sz w:val="22"/>
          <w:szCs w:val="22"/>
        </w:rPr>
        <w:t>(previs</w:t>
      </w:r>
      <w:r w:rsidR="00C8263D" w:rsidRPr="00093FC5">
        <w:rPr>
          <w:rFonts w:ascii="Century Gothic" w:hAnsi="Century Gothic"/>
          <w:sz w:val="22"/>
          <w:szCs w:val="22"/>
        </w:rPr>
        <w:t xml:space="preserve">ão de </w:t>
      </w:r>
      <w:r w:rsidR="00BC6B52" w:rsidRPr="00093FC5">
        <w:rPr>
          <w:rFonts w:ascii="Century Gothic" w:hAnsi="Century Gothic"/>
          <w:sz w:val="22"/>
          <w:szCs w:val="22"/>
        </w:rPr>
        <w:t>1 ano).</w:t>
      </w:r>
    </w:p>
    <w:p w14:paraId="12EC6F82" w14:textId="03FD59B7" w:rsidR="00CF70EB" w:rsidRPr="00093FC5" w:rsidRDefault="00BC6B52" w:rsidP="00CF70EB">
      <w:pPr>
        <w:pStyle w:val="ListParagraph"/>
        <w:numPr>
          <w:ilvl w:val="0"/>
          <w:numId w:val="3"/>
        </w:numPr>
        <w:jc w:val="both"/>
        <w:rPr>
          <w:rFonts w:ascii="Century Gothic" w:hAnsi="Century Gothic"/>
          <w:sz w:val="22"/>
          <w:szCs w:val="22"/>
        </w:rPr>
      </w:pPr>
      <w:r w:rsidRPr="00093FC5">
        <w:rPr>
          <w:rFonts w:ascii="Century Gothic" w:hAnsi="Century Gothic"/>
          <w:sz w:val="22"/>
          <w:szCs w:val="22"/>
        </w:rPr>
        <w:t>Os dados gerais serão tratados pela Comissão Científica.</w:t>
      </w:r>
    </w:p>
    <w:p w14:paraId="4E39AB4C" w14:textId="2F532B51" w:rsidR="00F80A73" w:rsidRPr="00093FC5" w:rsidRDefault="00CF70EB" w:rsidP="00E822B2">
      <w:pPr>
        <w:pStyle w:val="ListParagraph"/>
        <w:numPr>
          <w:ilvl w:val="0"/>
          <w:numId w:val="3"/>
        </w:numPr>
        <w:jc w:val="both"/>
        <w:rPr>
          <w:rFonts w:ascii="Century Gothic" w:hAnsi="Century Gothic"/>
          <w:sz w:val="22"/>
          <w:szCs w:val="22"/>
        </w:rPr>
      </w:pPr>
      <w:r w:rsidRPr="00093FC5">
        <w:rPr>
          <w:rFonts w:ascii="Century Gothic" w:hAnsi="Century Gothic"/>
          <w:sz w:val="22"/>
          <w:szCs w:val="22"/>
        </w:rPr>
        <w:t xml:space="preserve">Para informações, acesso, correção ou outros direitos, contactar o Encarregado de Proteção de Dados da AstraZeneca: </w:t>
      </w:r>
      <w:hyperlink r:id="rId13" w:history="1">
        <w:r w:rsidR="00C8263D" w:rsidRPr="00093FC5">
          <w:rPr>
            <w:rStyle w:val="Hyperlink"/>
            <w:rFonts w:ascii="Century Gothic" w:hAnsi="Century Gothic"/>
            <w:sz w:val="22"/>
            <w:szCs w:val="22"/>
          </w:rPr>
          <w:t>privacy@astrazeneca.com</w:t>
        </w:r>
      </w:hyperlink>
      <w:r w:rsidRPr="00093FC5">
        <w:rPr>
          <w:rFonts w:ascii="Century Gothic" w:hAnsi="Century Gothic"/>
          <w:sz w:val="22"/>
          <w:szCs w:val="22"/>
        </w:rPr>
        <w:t>.</w:t>
      </w:r>
    </w:p>
    <w:p w14:paraId="2326AF6C" w14:textId="63C9F07B" w:rsidR="00F80A73" w:rsidRPr="00093FC5" w:rsidRDefault="00F80A73" w:rsidP="00E822B2">
      <w:pPr>
        <w:spacing w:before="360"/>
        <w:jc w:val="both"/>
        <w:rPr>
          <w:rFonts w:ascii="Century Gothic" w:hAnsi="Century Gothic"/>
          <w:b/>
          <w:bCs/>
          <w:color w:val="66328D"/>
        </w:rPr>
      </w:pPr>
      <w:r w:rsidRPr="00093FC5">
        <w:rPr>
          <w:rFonts w:ascii="Century Gothic" w:hAnsi="Century Gothic"/>
          <w:b/>
          <w:bCs/>
          <w:color w:val="66328D"/>
        </w:rPr>
        <w:t>Análise Estatística</w:t>
      </w:r>
    </w:p>
    <w:p w14:paraId="1511B11E" w14:textId="77777777" w:rsidR="00A412E2" w:rsidRPr="00093FC5" w:rsidRDefault="00F80A73" w:rsidP="00583A05">
      <w:pPr>
        <w:jc w:val="both"/>
        <w:rPr>
          <w:rFonts w:ascii="Century Gothic" w:hAnsi="Century Gothic"/>
          <w:sz w:val="22"/>
          <w:szCs w:val="22"/>
        </w:rPr>
      </w:pPr>
      <w:r w:rsidRPr="00093FC5">
        <w:rPr>
          <w:rFonts w:ascii="Century Gothic" w:hAnsi="Century Gothic"/>
          <w:sz w:val="22"/>
          <w:szCs w:val="22"/>
        </w:rPr>
        <w:t>A análise dos dados compreenderá a caracterização da amostra</w:t>
      </w:r>
      <w:r w:rsidR="00710AD5" w:rsidRPr="00093FC5">
        <w:rPr>
          <w:rFonts w:ascii="Century Gothic" w:hAnsi="Century Gothic"/>
          <w:sz w:val="22"/>
          <w:szCs w:val="22"/>
        </w:rPr>
        <w:t xml:space="preserve"> em </w:t>
      </w:r>
      <w:r w:rsidRPr="00093FC5">
        <w:rPr>
          <w:rFonts w:ascii="Century Gothic" w:hAnsi="Century Gothic"/>
          <w:sz w:val="22"/>
          <w:szCs w:val="22"/>
        </w:rPr>
        <w:t>termos antropométricos</w:t>
      </w:r>
      <w:r w:rsidR="00710AD5" w:rsidRPr="00093FC5">
        <w:rPr>
          <w:rFonts w:ascii="Century Gothic" w:hAnsi="Century Gothic"/>
          <w:sz w:val="22"/>
          <w:szCs w:val="22"/>
        </w:rPr>
        <w:t xml:space="preserve">, </w:t>
      </w:r>
      <w:r w:rsidRPr="00093FC5">
        <w:rPr>
          <w:rFonts w:ascii="Century Gothic" w:hAnsi="Century Gothic"/>
          <w:sz w:val="22"/>
          <w:szCs w:val="22"/>
        </w:rPr>
        <w:t>demográficos</w:t>
      </w:r>
      <w:r w:rsidR="00710AD5" w:rsidRPr="00093FC5">
        <w:rPr>
          <w:rFonts w:ascii="Century Gothic" w:hAnsi="Century Gothic"/>
          <w:sz w:val="22"/>
          <w:szCs w:val="22"/>
        </w:rPr>
        <w:t xml:space="preserve"> e</w:t>
      </w:r>
      <w:r w:rsidRPr="00093FC5">
        <w:rPr>
          <w:rFonts w:ascii="Century Gothic" w:hAnsi="Century Gothic"/>
          <w:sz w:val="22"/>
          <w:szCs w:val="22"/>
        </w:rPr>
        <w:t xml:space="preserve"> clínicos.</w:t>
      </w:r>
    </w:p>
    <w:p w14:paraId="6537EBA7" w14:textId="7DFAAED2" w:rsidR="00F80A73" w:rsidRPr="00093FC5" w:rsidRDefault="00F80A73" w:rsidP="00583A05">
      <w:pPr>
        <w:jc w:val="both"/>
        <w:rPr>
          <w:rFonts w:ascii="Century Gothic" w:hAnsi="Century Gothic"/>
          <w:sz w:val="22"/>
          <w:szCs w:val="22"/>
        </w:rPr>
      </w:pPr>
      <w:r w:rsidRPr="00093FC5">
        <w:rPr>
          <w:rFonts w:ascii="Century Gothic" w:hAnsi="Century Gothic"/>
          <w:sz w:val="22"/>
          <w:szCs w:val="22"/>
        </w:rPr>
        <w:t xml:space="preserve">Para </w:t>
      </w:r>
      <w:r w:rsidR="00710AD5" w:rsidRPr="00093FC5">
        <w:rPr>
          <w:rFonts w:ascii="Century Gothic" w:hAnsi="Century Gothic"/>
          <w:sz w:val="22"/>
          <w:szCs w:val="22"/>
        </w:rPr>
        <w:t>v</w:t>
      </w:r>
      <w:r w:rsidRPr="00093FC5">
        <w:rPr>
          <w:rFonts w:ascii="Century Gothic" w:hAnsi="Century Gothic"/>
          <w:sz w:val="22"/>
          <w:szCs w:val="22"/>
        </w:rPr>
        <w:t>ariáveis contínua</w:t>
      </w:r>
      <w:r w:rsidR="00710AD5" w:rsidRPr="00093FC5">
        <w:rPr>
          <w:rFonts w:ascii="Century Gothic" w:hAnsi="Century Gothic"/>
          <w:sz w:val="22"/>
          <w:szCs w:val="22"/>
        </w:rPr>
        <w:t>s</w:t>
      </w:r>
      <w:r w:rsidRPr="00093FC5">
        <w:rPr>
          <w:rFonts w:ascii="Century Gothic" w:hAnsi="Century Gothic"/>
          <w:sz w:val="22"/>
          <w:szCs w:val="22"/>
        </w:rPr>
        <w:t xml:space="preserve"> serão apresentadas </w:t>
      </w:r>
      <w:r w:rsidR="0084191F" w:rsidRPr="00093FC5">
        <w:rPr>
          <w:rFonts w:ascii="Century Gothic" w:hAnsi="Century Gothic"/>
          <w:sz w:val="22"/>
          <w:szCs w:val="22"/>
        </w:rPr>
        <w:t>média ± desvio</w:t>
      </w:r>
      <w:r w:rsidR="0084191F" w:rsidRPr="00093FC5">
        <w:rPr>
          <w:rFonts w:ascii="Cambria Math" w:hAnsi="Cambria Math" w:cs="Cambria Math"/>
          <w:sz w:val="22"/>
          <w:szCs w:val="22"/>
        </w:rPr>
        <w:t>‑</w:t>
      </w:r>
      <w:r w:rsidR="0084191F" w:rsidRPr="00093FC5">
        <w:rPr>
          <w:rFonts w:ascii="Century Gothic" w:hAnsi="Century Gothic"/>
          <w:sz w:val="22"/>
          <w:szCs w:val="22"/>
        </w:rPr>
        <w:t>padr</w:t>
      </w:r>
      <w:r w:rsidR="0084191F" w:rsidRPr="00093FC5">
        <w:rPr>
          <w:rFonts w:ascii="Century Gothic" w:hAnsi="Century Gothic" w:cs="Aptos Display"/>
          <w:sz w:val="22"/>
          <w:szCs w:val="22"/>
        </w:rPr>
        <w:t>ã</w:t>
      </w:r>
      <w:r w:rsidR="0084191F" w:rsidRPr="00093FC5">
        <w:rPr>
          <w:rFonts w:ascii="Century Gothic" w:hAnsi="Century Gothic"/>
          <w:sz w:val="22"/>
          <w:szCs w:val="22"/>
        </w:rPr>
        <w:t>o ou mediana (amplitude interquartil), conforme a distribui</w:t>
      </w:r>
      <w:r w:rsidR="0084191F" w:rsidRPr="00093FC5">
        <w:rPr>
          <w:rFonts w:ascii="Century Gothic" w:hAnsi="Century Gothic" w:cs="Aptos Display"/>
          <w:sz w:val="22"/>
          <w:szCs w:val="22"/>
        </w:rPr>
        <w:t>çã</w:t>
      </w:r>
      <w:r w:rsidR="0084191F" w:rsidRPr="00093FC5">
        <w:rPr>
          <w:rFonts w:ascii="Century Gothic" w:hAnsi="Century Gothic"/>
          <w:sz w:val="22"/>
          <w:szCs w:val="22"/>
        </w:rPr>
        <w:t>o dos dados.</w:t>
      </w:r>
      <w:r w:rsidRPr="00093FC5">
        <w:rPr>
          <w:rFonts w:ascii="Century Gothic" w:hAnsi="Century Gothic"/>
          <w:sz w:val="22"/>
          <w:szCs w:val="22"/>
        </w:rPr>
        <w:t xml:space="preserve"> Para variáveis discreta</w:t>
      </w:r>
      <w:r w:rsidR="0084191F" w:rsidRPr="00093FC5">
        <w:rPr>
          <w:rFonts w:ascii="Century Gothic" w:hAnsi="Century Gothic"/>
          <w:sz w:val="22"/>
          <w:szCs w:val="22"/>
        </w:rPr>
        <w:t>s</w:t>
      </w:r>
      <w:r w:rsidRPr="00093FC5">
        <w:rPr>
          <w:rFonts w:ascii="Century Gothic" w:hAnsi="Century Gothic"/>
          <w:sz w:val="22"/>
          <w:szCs w:val="22"/>
        </w:rPr>
        <w:t xml:space="preserve"> serão apresentadas as respetivas frequências absolutas e relativas. </w:t>
      </w:r>
      <w:r w:rsidR="001124C6" w:rsidRPr="00093FC5">
        <w:rPr>
          <w:rFonts w:ascii="Century Gothic" w:hAnsi="Century Gothic"/>
          <w:sz w:val="22"/>
          <w:szCs w:val="22"/>
        </w:rPr>
        <w:t xml:space="preserve">A análise de sobrevivência será efetuada pelo método de </w:t>
      </w:r>
      <w:r w:rsidRPr="00093FC5">
        <w:rPr>
          <w:rFonts w:ascii="Century Gothic" w:hAnsi="Century Gothic"/>
          <w:i/>
          <w:iCs/>
          <w:sz w:val="22"/>
          <w:szCs w:val="22"/>
        </w:rPr>
        <w:t>Kaplan-Meier</w:t>
      </w:r>
      <w:r w:rsidRPr="00093FC5">
        <w:rPr>
          <w:rFonts w:ascii="Century Gothic" w:hAnsi="Century Gothic"/>
          <w:sz w:val="22"/>
          <w:szCs w:val="22"/>
        </w:rPr>
        <w:t>.</w:t>
      </w:r>
    </w:p>
    <w:p w14:paraId="3E6101F3" w14:textId="2F4A2C34" w:rsidR="000C797E" w:rsidRPr="00093FC5" w:rsidRDefault="000C797E" w:rsidP="00E822B2">
      <w:pPr>
        <w:jc w:val="both"/>
        <w:rPr>
          <w:rFonts w:ascii="Century Gothic" w:hAnsi="Century Gothic"/>
          <w:sz w:val="22"/>
          <w:szCs w:val="22"/>
        </w:rPr>
      </w:pPr>
      <w:r w:rsidRPr="00093FC5">
        <w:rPr>
          <w:rFonts w:ascii="Century Gothic" w:hAnsi="Century Gothic"/>
          <w:sz w:val="22"/>
          <w:szCs w:val="22"/>
        </w:rPr>
        <w:lastRenderedPageBreak/>
        <w:t xml:space="preserve">Serão realizadas análises exploratórias por subgrupos (pMMR vs </w:t>
      </w:r>
      <w:r w:rsidR="00A412E2" w:rsidRPr="00093FC5">
        <w:rPr>
          <w:rFonts w:ascii="Century Gothic" w:hAnsi="Century Gothic"/>
          <w:sz w:val="22"/>
          <w:szCs w:val="22"/>
        </w:rPr>
        <w:t>d</w:t>
      </w:r>
      <w:r w:rsidRPr="00093FC5">
        <w:rPr>
          <w:rFonts w:ascii="Century Gothic" w:hAnsi="Century Gothic"/>
          <w:sz w:val="22"/>
          <w:szCs w:val="22"/>
        </w:rPr>
        <w:t xml:space="preserve">MMR; regimes de manutenção), com comparação por teste de </w:t>
      </w:r>
      <w:r w:rsidRPr="00093FC5">
        <w:rPr>
          <w:rFonts w:ascii="Century Gothic" w:hAnsi="Century Gothic"/>
          <w:i/>
          <w:iCs/>
          <w:sz w:val="22"/>
          <w:szCs w:val="22"/>
        </w:rPr>
        <w:t>log</w:t>
      </w:r>
      <w:r w:rsidRPr="00093FC5">
        <w:rPr>
          <w:rFonts w:ascii="Cambria Math" w:hAnsi="Cambria Math" w:cs="Cambria Math"/>
          <w:i/>
          <w:iCs/>
          <w:sz w:val="22"/>
          <w:szCs w:val="22"/>
        </w:rPr>
        <w:t>‑</w:t>
      </w:r>
      <w:r w:rsidRPr="00093FC5">
        <w:rPr>
          <w:rFonts w:ascii="Century Gothic" w:hAnsi="Century Gothic"/>
          <w:i/>
          <w:iCs/>
          <w:sz w:val="22"/>
          <w:szCs w:val="22"/>
        </w:rPr>
        <w:t>rank</w:t>
      </w:r>
      <w:r w:rsidRPr="00093FC5">
        <w:rPr>
          <w:rFonts w:ascii="Century Gothic" w:hAnsi="Century Gothic"/>
          <w:sz w:val="22"/>
          <w:szCs w:val="22"/>
        </w:rPr>
        <w:t xml:space="preserve"> e estimativa de </w:t>
      </w:r>
      <w:r w:rsidRPr="00093FC5">
        <w:rPr>
          <w:rFonts w:ascii="Century Gothic" w:hAnsi="Century Gothic"/>
          <w:i/>
          <w:iCs/>
          <w:sz w:val="22"/>
          <w:szCs w:val="22"/>
        </w:rPr>
        <w:t>hazard ratios</w:t>
      </w:r>
      <w:r w:rsidRPr="00093FC5">
        <w:rPr>
          <w:rFonts w:ascii="Century Gothic" w:hAnsi="Century Gothic"/>
          <w:sz w:val="22"/>
          <w:szCs w:val="22"/>
        </w:rPr>
        <w:t xml:space="preserve"> atrav</w:t>
      </w:r>
      <w:r w:rsidRPr="00093FC5">
        <w:rPr>
          <w:rFonts w:ascii="Century Gothic" w:hAnsi="Century Gothic" w:cs="Aptos Display"/>
          <w:sz w:val="22"/>
          <w:szCs w:val="22"/>
        </w:rPr>
        <w:t>é</w:t>
      </w:r>
      <w:r w:rsidRPr="00093FC5">
        <w:rPr>
          <w:rFonts w:ascii="Century Gothic" w:hAnsi="Century Gothic"/>
          <w:sz w:val="22"/>
          <w:szCs w:val="22"/>
        </w:rPr>
        <w:t>s de modelos de Cox.</w:t>
      </w:r>
    </w:p>
    <w:p w14:paraId="1B192500" w14:textId="77777777" w:rsidR="00F80A73" w:rsidRPr="00093FC5" w:rsidRDefault="00F80A73" w:rsidP="00E822B2">
      <w:pPr>
        <w:spacing w:before="240"/>
        <w:jc w:val="both"/>
        <w:rPr>
          <w:rFonts w:ascii="Century Gothic" w:hAnsi="Century Gothic"/>
          <w:b/>
          <w:bCs/>
          <w:color w:val="66328D"/>
        </w:rPr>
      </w:pPr>
      <w:r w:rsidRPr="00093FC5">
        <w:rPr>
          <w:rFonts w:ascii="Century Gothic" w:hAnsi="Century Gothic"/>
          <w:b/>
          <w:bCs/>
          <w:color w:val="66328D"/>
        </w:rPr>
        <w:t>Política de Publicação e Divulgação de Resultados</w:t>
      </w:r>
    </w:p>
    <w:p w14:paraId="23A4ECE5" w14:textId="77777777" w:rsidR="00DB6ED4" w:rsidRPr="00093FC5" w:rsidRDefault="00374B99" w:rsidP="00583A05">
      <w:pPr>
        <w:jc w:val="both"/>
        <w:rPr>
          <w:rFonts w:ascii="Century Gothic" w:hAnsi="Century Gothic"/>
          <w:sz w:val="22"/>
          <w:szCs w:val="22"/>
        </w:rPr>
      </w:pPr>
      <w:r w:rsidRPr="00093FC5">
        <w:rPr>
          <w:rFonts w:ascii="Century Gothic" w:hAnsi="Century Gothic"/>
          <w:sz w:val="22"/>
          <w:szCs w:val="22"/>
        </w:rPr>
        <w:t xml:space="preserve">A publicação de resultados será da exclusiva responsabilidade da Comissão Científica e dos respetivos investigadores, não contando com qualquer apoio ou envolvimento da AstraZeneca ou </w:t>
      </w:r>
      <w:r w:rsidR="0061346D" w:rsidRPr="00093FC5">
        <w:rPr>
          <w:rFonts w:ascii="Century Gothic" w:hAnsi="Century Gothic"/>
          <w:sz w:val="22"/>
          <w:szCs w:val="22"/>
        </w:rPr>
        <w:t>da Float</w:t>
      </w:r>
      <w:r w:rsidRPr="00093FC5">
        <w:rPr>
          <w:rFonts w:ascii="Century Gothic" w:hAnsi="Century Gothic"/>
          <w:sz w:val="22"/>
          <w:szCs w:val="22"/>
        </w:rPr>
        <w:t>. A</w:t>
      </w:r>
      <w:r w:rsidR="00DB6ED4" w:rsidRPr="00093FC5">
        <w:rPr>
          <w:rFonts w:ascii="Century Gothic" w:hAnsi="Century Gothic"/>
          <w:sz w:val="22"/>
          <w:szCs w:val="22"/>
        </w:rPr>
        <w:t xml:space="preserve"> </w:t>
      </w:r>
      <w:r w:rsidRPr="00093FC5">
        <w:rPr>
          <w:rFonts w:ascii="Century Gothic" w:hAnsi="Century Gothic"/>
          <w:sz w:val="22"/>
          <w:szCs w:val="22"/>
        </w:rPr>
        <w:t>interpretação dos resultados e o controlo editorial dos manuscritos serão inteiramente independentes e conduzidos pelos investigadores, sem qualquer influência externa.</w:t>
      </w:r>
    </w:p>
    <w:p w14:paraId="2EAD3855" w14:textId="0AD6752A" w:rsidR="00F80A73" w:rsidRPr="00093FC5" w:rsidRDefault="00F80A73" w:rsidP="00583A05">
      <w:pPr>
        <w:jc w:val="both"/>
        <w:rPr>
          <w:rFonts w:ascii="Century Gothic" w:hAnsi="Century Gothic"/>
          <w:sz w:val="22"/>
          <w:szCs w:val="22"/>
        </w:rPr>
      </w:pPr>
      <w:r w:rsidRPr="00093FC5">
        <w:rPr>
          <w:rFonts w:ascii="Century Gothic" w:hAnsi="Century Gothic"/>
          <w:sz w:val="22"/>
          <w:szCs w:val="22"/>
        </w:rPr>
        <w:t>Os resultados deste estudo poderão ser divulgados em congressos científicos, nacionais ou internacionais, bem como em encontros científicos, ou publicados em revistas científicas (com ou sem fator de impacto), de acordo com a legislação em vigor e as boas práticas de investigação.</w:t>
      </w:r>
      <w:r w:rsidR="00461336" w:rsidRPr="00093FC5">
        <w:rPr>
          <w:rFonts w:ascii="Century Gothic" w:hAnsi="Century Gothic"/>
          <w:sz w:val="22"/>
          <w:szCs w:val="22"/>
        </w:rPr>
        <w:t xml:space="preserve"> </w:t>
      </w:r>
    </w:p>
    <w:p w14:paraId="4656EBB9" w14:textId="77777777" w:rsidR="00F80A73" w:rsidRPr="00093FC5" w:rsidRDefault="00F80A73" w:rsidP="00583A05">
      <w:pPr>
        <w:jc w:val="both"/>
        <w:rPr>
          <w:rFonts w:ascii="Century Gothic" w:hAnsi="Century Gothic"/>
          <w:b/>
          <w:bCs/>
          <w:sz w:val="22"/>
          <w:szCs w:val="22"/>
        </w:rPr>
      </w:pPr>
      <w:r w:rsidRPr="00093FC5">
        <w:rPr>
          <w:rFonts w:ascii="Century Gothic" w:hAnsi="Century Gothic"/>
          <w:b/>
          <w:bCs/>
          <w:sz w:val="22"/>
          <w:szCs w:val="22"/>
        </w:rPr>
        <w:t>A ordem de autoria será definida com base nos seguintes critérios:</w:t>
      </w:r>
    </w:p>
    <w:p w14:paraId="0F9DDFB1" w14:textId="692A49F5" w:rsidR="00F80A73" w:rsidRPr="00093FC5" w:rsidRDefault="00F80A73" w:rsidP="00E822B2">
      <w:pPr>
        <w:pStyle w:val="ListParagraph"/>
        <w:numPr>
          <w:ilvl w:val="0"/>
          <w:numId w:val="11"/>
        </w:numPr>
        <w:jc w:val="both"/>
        <w:rPr>
          <w:rFonts w:ascii="Century Gothic" w:hAnsi="Century Gothic"/>
          <w:sz w:val="22"/>
          <w:szCs w:val="22"/>
        </w:rPr>
      </w:pPr>
      <w:r w:rsidRPr="00093FC5">
        <w:rPr>
          <w:rFonts w:ascii="Century Gothic" w:hAnsi="Century Gothic"/>
          <w:b/>
          <w:bCs/>
          <w:sz w:val="22"/>
          <w:szCs w:val="22"/>
        </w:rPr>
        <w:t>Primeiro autor:</w:t>
      </w:r>
      <w:r w:rsidRPr="00093FC5">
        <w:rPr>
          <w:rFonts w:ascii="Century Gothic" w:hAnsi="Century Gothic"/>
          <w:sz w:val="22"/>
          <w:szCs w:val="22"/>
        </w:rPr>
        <w:t xml:space="preserve"> será um elemento do centro proponente/iniciador do projeto</w:t>
      </w:r>
      <w:r w:rsidR="00113B86" w:rsidRPr="00093FC5">
        <w:rPr>
          <w:rFonts w:ascii="Century Gothic" w:hAnsi="Century Gothic"/>
          <w:sz w:val="22"/>
          <w:szCs w:val="22"/>
        </w:rPr>
        <w:t xml:space="preserve"> ou um dos membros da Comissão Científica;</w:t>
      </w:r>
    </w:p>
    <w:p w14:paraId="369B47B8" w14:textId="78512576" w:rsidR="00F80A73" w:rsidRPr="00093FC5" w:rsidRDefault="00F80A73" w:rsidP="00E822B2">
      <w:pPr>
        <w:pStyle w:val="ListParagraph"/>
        <w:numPr>
          <w:ilvl w:val="0"/>
          <w:numId w:val="11"/>
        </w:numPr>
        <w:jc w:val="both"/>
        <w:rPr>
          <w:rFonts w:ascii="Century Gothic" w:hAnsi="Century Gothic"/>
          <w:sz w:val="22"/>
          <w:szCs w:val="22"/>
        </w:rPr>
      </w:pPr>
      <w:r w:rsidRPr="00093FC5">
        <w:rPr>
          <w:rFonts w:ascii="Century Gothic" w:hAnsi="Century Gothic"/>
          <w:b/>
          <w:bCs/>
          <w:sz w:val="22"/>
          <w:szCs w:val="22"/>
        </w:rPr>
        <w:t>Autores seguintes:</w:t>
      </w:r>
      <w:r w:rsidRPr="00093FC5">
        <w:rPr>
          <w:rFonts w:ascii="Century Gothic" w:hAnsi="Century Gothic"/>
          <w:sz w:val="22"/>
          <w:szCs w:val="22"/>
        </w:rPr>
        <w:t xml:space="preserve"> organizados por ordem decrescente do número de doentes incluídos por centro. No caso de empate, será considerada a participação ativa no estudo;</w:t>
      </w:r>
    </w:p>
    <w:p w14:paraId="7E1B1D14" w14:textId="772FB3EF" w:rsidR="00F80A73" w:rsidRPr="00093FC5" w:rsidRDefault="00F80A73" w:rsidP="00E822B2">
      <w:pPr>
        <w:pStyle w:val="ListParagraph"/>
        <w:numPr>
          <w:ilvl w:val="0"/>
          <w:numId w:val="11"/>
        </w:numPr>
        <w:jc w:val="both"/>
        <w:rPr>
          <w:rFonts w:ascii="Century Gothic" w:hAnsi="Century Gothic"/>
          <w:sz w:val="22"/>
          <w:szCs w:val="22"/>
        </w:rPr>
      </w:pPr>
      <w:r w:rsidRPr="00093FC5">
        <w:rPr>
          <w:rFonts w:ascii="Century Gothic" w:hAnsi="Century Gothic"/>
          <w:b/>
          <w:bCs/>
          <w:sz w:val="22"/>
          <w:szCs w:val="22"/>
        </w:rPr>
        <w:t>Último autor:</w:t>
      </w:r>
      <w:r w:rsidRPr="00093FC5">
        <w:rPr>
          <w:rFonts w:ascii="Century Gothic" w:hAnsi="Century Gothic"/>
          <w:sz w:val="22"/>
          <w:szCs w:val="22"/>
        </w:rPr>
        <w:t xml:space="preserve"> o investigador sénior do centro proponente, tendo em consideração participação ativa no projeto</w:t>
      </w:r>
      <w:r w:rsidR="004537FE" w:rsidRPr="00093FC5">
        <w:rPr>
          <w:rFonts w:ascii="Century Gothic" w:hAnsi="Century Gothic"/>
          <w:sz w:val="22"/>
          <w:szCs w:val="22"/>
        </w:rPr>
        <w:t>,</w:t>
      </w:r>
      <w:r w:rsidRPr="00093FC5">
        <w:rPr>
          <w:rFonts w:ascii="Century Gothic" w:hAnsi="Century Gothic"/>
          <w:sz w:val="22"/>
          <w:szCs w:val="22"/>
        </w:rPr>
        <w:t xml:space="preserve"> </w:t>
      </w:r>
      <w:r w:rsidR="00302BAF" w:rsidRPr="00093FC5">
        <w:rPr>
          <w:rFonts w:ascii="Century Gothic" w:hAnsi="Century Gothic"/>
          <w:sz w:val="22"/>
          <w:szCs w:val="22"/>
        </w:rPr>
        <w:t>ou um dos membros da Comissão Científica</w:t>
      </w:r>
      <w:r w:rsidR="004537FE" w:rsidRPr="00093FC5">
        <w:rPr>
          <w:rFonts w:ascii="Century Gothic" w:hAnsi="Century Gothic"/>
          <w:sz w:val="22"/>
          <w:szCs w:val="22"/>
        </w:rPr>
        <w:t>.</w:t>
      </w:r>
    </w:p>
    <w:p w14:paraId="71379427" w14:textId="63D2816B" w:rsidR="00F80A73" w:rsidRPr="00093FC5" w:rsidRDefault="00F80A73" w:rsidP="00E822B2">
      <w:pPr>
        <w:pStyle w:val="ListParagraph"/>
        <w:numPr>
          <w:ilvl w:val="0"/>
          <w:numId w:val="11"/>
        </w:numPr>
        <w:jc w:val="both"/>
        <w:rPr>
          <w:rFonts w:ascii="Century Gothic" w:hAnsi="Century Gothic"/>
          <w:sz w:val="22"/>
          <w:szCs w:val="22"/>
        </w:rPr>
      </w:pPr>
      <w:r w:rsidRPr="00093FC5">
        <w:rPr>
          <w:rFonts w:ascii="Century Gothic" w:hAnsi="Century Gothic"/>
          <w:sz w:val="22"/>
          <w:szCs w:val="22"/>
        </w:rPr>
        <w:t>Sempre que a revista permitir a existência de dois primeiros autores (“co-first authors”), o segundo primeiro autor será um elemento do centro com maior número de doentes incluídos</w:t>
      </w:r>
      <w:r w:rsidR="004537FE" w:rsidRPr="00093FC5">
        <w:rPr>
          <w:rFonts w:ascii="Century Gothic" w:hAnsi="Century Gothic"/>
          <w:sz w:val="22"/>
          <w:szCs w:val="22"/>
        </w:rPr>
        <w:t xml:space="preserve"> ou um dos membros da Comissão Científica</w:t>
      </w:r>
      <w:r w:rsidRPr="00093FC5">
        <w:rPr>
          <w:rFonts w:ascii="Century Gothic" w:hAnsi="Century Gothic"/>
          <w:sz w:val="22"/>
          <w:szCs w:val="22"/>
        </w:rPr>
        <w:t>;</w:t>
      </w:r>
    </w:p>
    <w:p w14:paraId="7C3BA12A" w14:textId="69754AEC" w:rsidR="00F80A73" w:rsidRPr="00093FC5" w:rsidRDefault="00F80A73" w:rsidP="00E822B2">
      <w:pPr>
        <w:pStyle w:val="ListParagraph"/>
        <w:numPr>
          <w:ilvl w:val="0"/>
          <w:numId w:val="11"/>
        </w:numPr>
        <w:jc w:val="both"/>
        <w:rPr>
          <w:rFonts w:ascii="Century Gothic" w:hAnsi="Century Gothic"/>
          <w:sz w:val="22"/>
          <w:szCs w:val="22"/>
        </w:rPr>
      </w:pPr>
      <w:r w:rsidRPr="00093FC5">
        <w:rPr>
          <w:rFonts w:ascii="Century Gothic" w:hAnsi="Century Gothic"/>
          <w:sz w:val="22"/>
          <w:szCs w:val="22"/>
        </w:rPr>
        <w:t>Os restantes autores serão atribuídos de acordo com a relevância da participação no estudo e o número de doentes incluídos;</w:t>
      </w:r>
    </w:p>
    <w:p w14:paraId="16A2B1FC" w14:textId="68B81755" w:rsidR="00F80A73" w:rsidRPr="00093FC5" w:rsidRDefault="00F80A73" w:rsidP="00E822B2">
      <w:pPr>
        <w:pStyle w:val="ListParagraph"/>
        <w:numPr>
          <w:ilvl w:val="0"/>
          <w:numId w:val="11"/>
        </w:numPr>
        <w:jc w:val="both"/>
        <w:rPr>
          <w:rFonts w:ascii="Century Gothic" w:hAnsi="Century Gothic"/>
          <w:sz w:val="22"/>
          <w:szCs w:val="22"/>
        </w:rPr>
      </w:pPr>
      <w:r w:rsidRPr="00093FC5">
        <w:rPr>
          <w:rFonts w:ascii="Century Gothic" w:hAnsi="Century Gothic"/>
          <w:sz w:val="22"/>
          <w:szCs w:val="22"/>
        </w:rPr>
        <w:t>No caso de haver limitação no número de autores permitidos por revista, será dada prioridade aos centros com maior número de doentes incluídos;</w:t>
      </w:r>
    </w:p>
    <w:p w14:paraId="7A92CF69" w14:textId="0D0BD4DC" w:rsidR="00F80A73" w:rsidRPr="00093FC5" w:rsidRDefault="00F80A73" w:rsidP="00E822B2">
      <w:pPr>
        <w:pStyle w:val="ListParagraph"/>
        <w:numPr>
          <w:ilvl w:val="0"/>
          <w:numId w:val="11"/>
        </w:numPr>
        <w:jc w:val="both"/>
        <w:rPr>
          <w:rFonts w:ascii="Century Gothic" w:hAnsi="Century Gothic"/>
          <w:sz w:val="22"/>
          <w:szCs w:val="22"/>
        </w:rPr>
      </w:pPr>
      <w:r w:rsidRPr="00093FC5">
        <w:rPr>
          <w:rFonts w:ascii="Century Gothic" w:hAnsi="Century Gothic"/>
          <w:sz w:val="22"/>
          <w:szCs w:val="22"/>
        </w:rPr>
        <w:t>No caso de haver limitação no número de autores permitidos pela revista, a participação de todos será sempre explicita no final do manuscrito</w:t>
      </w:r>
      <w:r w:rsidR="00FA5AAD" w:rsidRPr="00093FC5">
        <w:rPr>
          <w:rFonts w:ascii="Century Gothic" w:hAnsi="Century Gothic"/>
          <w:sz w:val="22"/>
          <w:szCs w:val="22"/>
        </w:rPr>
        <w:t>, incluindo menção aos membros da Comissão Científica;</w:t>
      </w:r>
    </w:p>
    <w:p w14:paraId="4611C31E" w14:textId="64C0DA5D" w:rsidR="00F80A73" w:rsidRPr="00093FC5" w:rsidRDefault="00F80A73" w:rsidP="00E822B2">
      <w:pPr>
        <w:pStyle w:val="ListParagraph"/>
        <w:numPr>
          <w:ilvl w:val="0"/>
          <w:numId w:val="11"/>
        </w:numPr>
        <w:jc w:val="both"/>
        <w:rPr>
          <w:rFonts w:ascii="Century Gothic" w:hAnsi="Century Gothic"/>
          <w:sz w:val="22"/>
          <w:szCs w:val="22"/>
        </w:rPr>
      </w:pPr>
      <w:r w:rsidRPr="00093FC5">
        <w:rPr>
          <w:rFonts w:ascii="Century Gothic" w:hAnsi="Century Gothic"/>
          <w:sz w:val="22"/>
          <w:szCs w:val="22"/>
        </w:rPr>
        <w:t xml:space="preserve">Para publicações múltiplas provenientes deste conjunto de dados, os centros com menor número de doentes incluídos serão representados de forma rotativa, garantindo a inclusão equitativa de todos os centros ao longo das várias publicações planeadas. Assim, os centros com mais de </w:t>
      </w:r>
      <w:r w:rsidR="00FE4619" w:rsidRPr="00093FC5">
        <w:rPr>
          <w:rFonts w:ascii="Century Gothic" w:hAnsi="Century Gothic"/>
          <w:sz w:val="22"/>
          <w:szCs w:val="22"/>
        </w:rPr>
        <w:t>trê</w:t>
      </w:r>
      <w:r w:rsidRPr="00093FC5">
        <w:rPr>
          <w:rFonts w:ascii="Century Gothic" w:hAnsi="Century Gothic"/>
          <w:sz w:val="22"/>
          <w:szCs w:val="22"/>
        </w:rPr>
        <w:t xml:space="preserve">s doentes incluídos terão sempre pelo menos um autor em cada publicação. Já os centros com menos de </w:t>
      </w:r>
      <w:r w:rsidR="00FE4619" w:rsidRPr="00093FC5">
        <w:rPr>
          <w:rFonts w:ascii="Century Gothic" w:hAnsi="Century Gothic"/>
          <w:sz w:val="22"/>
          <w:szCs w:val="22"/>
        </w:rPr>
        <w:t>trê</w:t>
      </w:r>
      <w:r w:rsidRPr="00093FC5">
        <w:rPr>
          <w:rFonts w:ascii="Century Gothic" w:hAnsi="Century Gothic"/>
          <w:sz w:val="22"/>
          <w:szCs w:val="22"/>
        </w:rPr>
        <w:t>s doentes terão os seus investigadores incluídos de forma rotativa, assegurando a representação de todos, sempre que possível.</w:t>
      </w:r>
    </w:p>
    <w:p w14:paraId="32771E5B" w14:textId="71AB5E4C" w:rsidR="00F80A73" w:rsidRPr="00093FC5" w:rsidRDefault="00F80A73" w:rsidP="00583A05">
      <w:pPr>
        <w:jc w:val="both"/>
        <w:rPr>
          <w:rFonts w:ascii="Century Gothic" w:hAnsi="Century Gothic"/>
          <w:sz w:val="22"/>
          <w:szCs w:val="22"/>
        </w:rPr>
      </w:pPr>
      <w:r w:rsidRPr="00093FC5">
        <w:rPr>
          <w:rFonts w:ascii="Century Gothic" w:hAnsi="Century Gothic"/>
          <w:sz w:val="22"/>
          <w:szCs w:val="22"/>
        </w:rPr>
        <w:lastRenderedPageBreak/>
        <w:t>No caso de submissões para publicação em revistas científicas</w:t>
      </w:r>
      <w:r w:rsidR="008B403D" w:rsidRPr="00093FC5">
        <w:rPr>
          <w:rFonts w:ascii="Century Gothic" w:hAnsi="Century Gothic"/>
          <w:sz w:val="22"/>
          <w:szCs w:val="22"/>
        </w:rPr>
        <w:t xml:space="preserve"> ou outra comunicação</w:t>
      </w:r>
      <w:r w:rsidRPr="00093FC5">
        <w:rPr>
          <w:rFonts w:ascii="Century Gothic" w:hAnsi="Century Gothic"/>
          <w:sz w:val="22"/>
          <w:szCs w:val="22"/>
        </w:rPr>
        <w:t xml:space="preserve">, o investigador responsável compromete-se a fornecer um rascunho do manuscrito </w:t>
      </w:r>
      <w:r w:rsidR="00104FC9" w:rsidRPr="00093FC5">
        <w:rPr>
          <w:rFonts w:ascii="Century Gothic" w:hAnsi="Century Gothic"/>
          <w:sz w:val="22"/>
          <w:szCs w:val="22"/>
        </w:rPr>
        <w:t>à Comissão Científica</w:t>
      </w:r>
      <w:r w:rsidRPr="00093FC5">
        <w:rPr>
          <w:rFonts w:ascii="Century Gothic" w:hAnsi="Century Gothic"/>
          <w:sz w:val="22"/>
          <w:szCs w:val="22"/>
        </w:rPr>
        <w:t xml:space="preserve"> com um mínimo de 7 dias de antecedência face à data prevista de submissão, para comentários e eventual aprovação.</w:t>
      </w:r>
    </w:p>
    <w:p w14:paraId="2DFFECBC" w14:textId="5645F7E8" w:rsidR="00427BA9" w:rsidRPr="00093FC5" w:rsidRDefault="00F80A73" w:rsidP="00E822B2">
      <w:pPr>
        <w:jc w:val="both"/>
        <w:rPr>
          <w:rFonts w:ascii="Century Gothic" w:hAnsi="Century Gothic"/>
          <w:b/>
          <w:bCs/>
          <w:sz w:val="22"/>
          <w:szCs w:val="22"/>
        </w:rPr>
      </w:pPr>
      <w:r w:rsidRPr="00093FC5">
        <w:rPr>
          <w:rFonts w:ascii="Century Gothic" w:hAnsi="Century Gothic"/>
          <w:sz w:val="22"/>
          <w:szCs w:val="22"/>
        </w:rPr>
        <w:t>A participação dos investigadores em eventos científicos para divulgação dos resultados poderá ocorrer mediante convite institucional ou apoio de entidades externas, sempre em conformidade com os princípios de transparência, integridade científica e com a legislação aplicável.</w:t>
      </w:r>
    </w:p>
    <w:p w14:paraId="5A58461C" w14:textId="79502B57" w:rsidR="00427BA9" w:rsidRPr="00093FC5" w:rsidRDefault="00427BA9" w:rsidP="00E822B2">
      <w:pPr>
        <w:spacing w:before="360"/>
        <w:jc w:val="both"/>
        <w:rPr>
          <w:rFonts w:ascii="Century Gothic" w:hAnsi="Century Gothic"/>
          <w:b/>
          <w:bCs/>
          <w:color w:val="66328D"/>
        </w:rPr>
      </w:pPr>
      <w:r w:rsidRPr="00093FC5">
        <w:rPr>
          <w:rFonts w:ascii="Century Gothic" w:hAnsi="Century Gothic"/>
          <w:b/>
          <w:bCs/>
          <w:color w:val="66328D"/>
        </w:rPr>
        <w:t xml:space="preserve">Considerações Éticas </w:t>
      </w:r>
    </w:p>
    <w:p w14:paraId="0798457E" w14:textId="139BACEF" w:rsidR="00F80A73" w:rsidRPr="00093FC5" w:rsidRDefault="00427BA9" w:rsidP="00E822B2">
      <w:pPr>
        <w:jc w:val="both"/>
        <w:rPr>
          <w:rFonts w:ascii="Century Gothic" w:hAnsi="Century Gothic"/>
          <w:sz w:val="22"/>
          <w:szCs w:val="22"/>
        </w:rPr>
      </w:pPr>
      <w:r w:rsidRPr="00093FC5">
        <w:rPr>
          <w:rFonts w:ascii="Century Gothic" w:hAnsi="Century Gothic"/>
          <w:sz w:val="22"/>
          <w:szCs w:val="22"/>
        </w:rPr>
        <w:t>Dada a natureza do estudo observacional, sem intervenção no curso clínico dos doentes e, como tal, sem hipótese de dolo, pede-se a dispensa de obtenção de consentimento informado. Mais se reforça que apenas serão colhidas as variáveis descritas neste protocolo, no período definido. A dispensa de consentimento informado nos estudos retrospetivos está prevista na Lei 21 de 2014, sujeita à aprovação da Comissão de Ética.</w:t>
      </w:r>
    </w:p>
    <w:p w14:paraId="6F8B50AE" w14:textId="1151BBA4" w:rsidR="00F80A73" w:rsidRPr="007D146A" w:rsidRDefault="00F80A73" w:rsidP="00E822B2">
      <w:pPr>
        <w:spacing w:before="360"/>
        <w:jc w:val="both"/>
        <w:rPr>
          <w:rFonts w:ascii="Century Gothic" w:hAnsi="Century Gothic"/>
          <w:b/>
          <w:bCs/>
          <w:color w:val="66328D"/>
          <w:lang w:val="en-US"/>
        </w:rPr>
      </w:pPr>
      <w:r w:rsidRPr="007D146A">
        <w:rPr>
          <w:rFonts w:ascii="Century Gothic" w:hAnsi="Century Gothic"/>
          <w:b/>
          <w:bCs/>
          <w:color w:val="66328D"/>
          <w:lang w:val="en-US"/>
        </w:rPr>
        <w:t>Bibliografia</w:t>
      </w:r>
    </w:p>
    <w:p w14:paraId="58FB4ACB" w14:textId="77777777" w:rsidR="009D23E5" w:rsidRPr="007D146A" w:rsidRDefault="009D23E5" w:rsidP="002A4F9B">
      <w:pPr>
        <w:spacing w:after="120"/>
        <w:jc w:val="both"/>
        <w:rPr>
          <w:rFonts w:ascii="Century Gothic" w:hAnsi="Century Gothic"/>
          <w:sz w:val="22"/>
          <w:szCs w:val="22"/>
          <w:lang w:val="en-US"/>
        </w:rPr>
      </w:pPr>
      <w:r w:rsidRPr="007D146A">
        <w:rPr>
          <w:rFonts w:ascii="Century Gothic" w:hAnsi="Century Gothic"/>
          <w:sz w:val="22"/>
          <w:szCs w:val="22"/>
          <w:lang w:val="en-US"/>
        </w:rPr>
        <w:t xml:space="preserve">1. WHO. Global Cancer Observatory - Globocan 2022. </w:t>
      </w:r>
    </w:p>
    <w:p w14:paraId="3B71269D" w14:textId="77777777" w:rsidR="009D23E5" w:rsidRPr="00093FC5" w:rsidRDefault="009D23E5" w:rsidP="002A4F9B">
      <w:pPr>
        <w:spacing w:after="120"/>
        <w:jc w:val="both"/>
        <w:rPr>
          <w:rFonts w:ascii="Century Gothic" w:hAnsi="Century Gothic"/>
          <w:sz w:val="22"/>
          <w:szCs w:val="22"/>
        </w:rPr>
      </w:pPr>
      <w:r w:rsidRPr="007D146A">
        <w:rPr>
          <w:rFonts w:ascii="Century Gothic" w:hAnsi="Century Gothic"/>
          <w:sz w:val="22"/>
          <w:szCs w:val="22"/>
          <w:lang w:val="en-US"/>
        </w:rPr>
        <w:t xml:space="preserve">2. Evrard C, et al. Predictive and Prognostic Value of Microsatellite Instability in Gynecologic Cancer (Endometrial and Ovarian). </w:t>
      </w:r>
      <w:r w:rsidRPr="00093FC5">
        <w:rPr>
          <w:rFonts w:ascii="Century Gothic" w:hAnsi="Century Gothic"/>
          <w:sz w:val="22"/>
          <w:szCs w:val="22"/>
        </w:rPr>
        <w:t>Cancers (Basel). 2021 13(10):2434. doi: 10.3390/cancers13102434.</w:t>
      </w:r>
    </w:p>
    <w:p w14:paraId="7EE318D7" w14:textId="6E81C1D9" w:rsidR="009D23E5" w:rsidRPr="00093FC5" w:rsidRDefault="009D23E5" w:rsidP="002A4F9B">
      <w:pPr>
        <w:spacing w:after="120"/>
        <w:jc w:val="both"/>
        <w:rPr>
          <w:rFonts w:ascii="Century Gothic" w:hAnsi="Century Gothic"/>
          <w:sz w:val="22"/>
          <w:szCs w:val="22"/>
        </w:rPr>
      </w:pPr>
      <w:r w:rsidRPr="00093FC5">
        <w:rPr>
          <w:rFonts w:ascii="Century Gothic" w:hAnsi="Century Gothic"/>
          <w:sz w:val="22"/>
          <w:szCs w:val="22"/>
        </w:rPr>
        <w:t>3</w:t>
      </w:r>
      <w:r w:rsidR="005F3BBC" w:rsidRPr="00093FC5">
        <w:rPr>
          <w:rFonts w:ascii="Century Gothic" w:hAnsi="Century Gothic"/>
          <w:sz w:val="22"/>
          <w:szCs w:val="22"/>
        </w:rPr>
        <w:t>.</w:t>
      </w:r>
      <w:r w:rsidRPr="00093FC5">
        <w:rPr>
          <w:rFonts w:ascii="Century Gothic" w:hAnsi="Century Gothic"/>
          <w:sz w:val="22"/>
          <w:szCs w:val="22"/>
        </w:rPr>
        <w:t xml:space="preserve"> SPG. Cancro Ginecológico - Consensos Nacionais 2025. Acedido a fevereiro de 2026, em: https://dev.spginecologia.pt/api/documents/file/documents-1768587867248-l_cancro_ginecologico_2025.pdf</w:t>
      </w:r>
    </w:p>
    <w:p w14:paraId="693CFF11" w14:textId="77777777" w:rsidR="009D23E5" w:rsidRPr="00093FC5" w:rsidRDefault="009D23E5" w:rsidP="002A4F9B">
      <w:pPr>
        <w:spacing w:after="120"/>
        <w:jc w:val="both"/>
        <w:rPr>
          <w:rFonts w:ascii="Century Gothic" w:hAnsi="Century Gothic"/>
          <w:sz w:val="22"/>
          <w:szCs w:val="22"/>
        </w:rPr>
      </w:pPr>
      <w:r w:rsidRPr="007D146A">
        <w:rPr>
          <w:rFonts w:ascii="Century Gothic" w:hAnsi="Century Gothic"/>
          <w:sz w:val="22"/>
          <w:szCs w:val="22"/>
          <w:lang w:val="en-US"/>
        </w:rPr>
        <w:t xml:space="preserve">4. Westin SN, et al. Durvalumab Plus Carboplatin/Paclitaxel Followed by Maintenance Durvalumab With or Without Olaparib as First-Line Treatment for Advanced Endometrial Cancer: The Phase III DUO-E Trial. </w:t>
      </w:r>
      <w:r w:rsidRPr="00093FC5">
        <w:rPr>
          <w:rFonts w:ascii="Century Gothic" w:hAnsi="Century Gothic"/>
          <w:sz w:val="22"/>
          <w:szCs w:val="22"/>
        </w:rPr>
        <w:t xml:space="preserve">J Clin Oncol. 2024 20;42(27):3262. doi: 10.1200/JCO-24-01660. </w:t>
      </w:r>
    </w:p>
    <w:p w14:paraId="64121EE4" w14:textId="7E652D78" w:rsidR="009D23E5" w:rsidRPr="00093FC5" w:rsidRDefault="009D23E5" w:rsidP="002A4F9B">
      <w:pPr>
        <w:spacing w:after="120"/>
        <w:jc w:val="both"/>
        <w:rPr>
          <w:rFonts w:ascii="Century Gothic" w:hAnsi="Century Gothic"/>
          <w:sz w:val="22"/>
          <w:szCs w:val="22"/>
        </w:rPr>
      </w:pPr>
      <w:r w:rsidRPr="00093FC5">
        <w:rPr>
          <w:rFonts w:ascii="Century Gothic" w:hAnsi="Century Gothic"/>
          <w:sz w:val="22"/>
          <w:szCs w:val="22"/>
        </w:rPr>
        <w:t>5. RCM de Durvalumab</w:t>
      </w:r>
      <w:r w:rsidR="005F3BBC" w:rsidRPr="00093FC5">
        <w:rPr>
          <w:rFonts w:ascii="Century Gothic" w:hAnsi="Century Gothic"/>
          <w:sz w:val="22"/>
          <w:szCs w:val="22"/>
        </w:rPr>
        <w:t>. Acedido a fevereiro de 2026, em:</w:t>
      </w:r>
      <w:r w:rsidRPr="00093FC5">
        <w:rPr>
          <w:rFonts w:ascii="Century Gothic" w:hAnsi="Century Gothic"/>
          <w:sz w:val="22"/>
          <w:szCs w:val="22"/>
        </w:rPr>
        <w:t xml:space="preserve"> https://www.ema.europa.eu/en/documents/product-information/Durvalumab-epar-product-information_en.pdf </w:t>
      </w:r>
    </w:p>
    <w:p w14:paraId="3012FF6A" w14:textId="7D886454" w:rsidR="009F4387" w:rsidRDefault="009D23E5" w:rsidP="002A4F9B">
      <w:pPr>
        <w:spacing w:after="120"/>
        <w:jc w:val="both"/>
        <w:rPr>
          <w:rFonts w:ascii="Century Gothic" w:hAnsi="Century Gothic"/>
          <w:sz w:val="22"/>
          <w:szCs w:val="22"/>
        </w:rPr>
      </w:pPr>
      <w:r w:rsidRPr="007D146A">
        <w:rPr>
          <w:rFonts w:ascii="Century Gothic" w:hAnsi="Century Gothic"/>
          <w:sz w:val="22"/>
          <w:szCs w:val="22"/>
          <w:lang w:val="en-US"/>
        </w:rPr>
        <w:t>6.</w:t>
      </w:r>
      <w:r w:rsidRPr="007D146A">
        <w:rPr>
          <w:rFonts w:ascii="Century Gothic" w:eastAsiaTheme="minorEastAsia" w:hAnsi="Century Gothic"/>
          <w:color w:val="000000" w:themeColor="text1"/>
          <w:kern w:val="24"/>
          <w:sz w:val="22"/>
          <w:szCs w:val="22"/>
          <w:lang w:val="en-US"/>
        </w:rPr>
        <w:t xml:space="preserve"> </w:t>
      </w:r>
      <w:r w:rsidRPr="007D146A">
        <w:rPr>
          <w:rFonts w:ascii="Century Gothic" w:hAnsi="Century Gothic"/>
          <w:sz w:val="22"/>
          <w:szCs w:val="22"/>
          <w:lang w:val="en-US"/>
        </w:rPr>
        <w:t xml:space="preserve">Concin N, et al. ESGO–ESTRO–ESP guidelines for the management of patients with endometrial carcinoma: update 2025. </w:t>
      </w:r>
      <w:r w:rsidRPr="00093FC5">
        <w:rPr>
          <w:rFonts w:ascii="Century Gothic" w:hAnsi="Century Gothic"/>
          <w:sz w:val="22"/>
          <w:szCs w:val="22"/>
        </w:rPr>
        <w:t>Lancet Oncol. 2025 Aug;26(8):e423-e435.</w:t>
      </w:r>
    </w:p>
    <w:p w14:paraId="1A696BA2" w14:textId="77777777" w:rsidR="009F4387" w:rsidRPr="009F4387" w:rsidRDefault="009F4387" w:rsidP="002A4F9B">
      <w:pPr>
        <w:spacing w:after="120"/>
        <w:jc w:val="both"/>
        <w:rPr>
          <w:rFonts w:ascii="Century Gothic" w:hAnsi="Century Gothic"/>
          <w:sz w:val="12"/>
          <w:szCs w:val="12"/>
        </w:rPr>
      </w:pPr>
    </w:p>
    <w:p w14:paraId="06CC2C35" w14:textId="065ECA6D" w:rsidR="009F4387" w:rsidRDefault="009F4387" w:rsidP="009F4387">
      <w:pPr>
        <w:spacing w:after="0"/>
        <w:jc w:val="right"/>
        <w:rPr>
          <w:rFonts w:asciiTheme="majorHAnsi" w:hAnsiTheme="majorHAnsi" w:cs="Arial"/>
          <w:sz w:val="14"/>
          <w:szCs w:val="14"/>
          <w:lang w:val="pt-BR"/>
        </w:rPr>
      </w:pPr>
      <w:bookmarkStart w:id="0" w:name="_Hlk221533725"/>
      <w:r w:rsidRPr="009F4387">
        <w:rPr>
          <w:rFonts w:asciiTheme="majorHAnsi" w:hAnsiTheme="majorHAnsi" w:cs="Arial"/>
          <w:b/>
          <w:bCs/>
          <w:sz w:val="14"/>
          <w:szCs w:val="14"/>
          <w:lang w:val="pt-BR"/>
        </w:rPr>
        <w:t>AstraZeneca Produtos Farmacêuticos, Lda.</w:t>
      </w:r>
      <w:r w:rsidRPr="009F4387">
        <w:rPr>
          <w:rFonts w:asciiTheme="majorHAnsi" w:hAnsiTheme="majorHAnsi" w:cs="Arial"/>
          <w:sz w:val="14"/>
          <w:szCs w:val="14"/>
          <w:lang w:val="pt-BR"/>
        </w:rPr>
        <w:t xml:space="preserve"> I Contribuinte N° PT 502 942 240 I www.astrazeneca.pt</w:t>
      </w:r>
    </w:p>
    <w:p w14:paraId="66F2AC29" w14:textId="5B7085DC" w:rsidR="009F4387" w:rsidRPr="009F4387" w:rsidRDefault="009F4387" w:rsidP="009F4387">
      <w:pPr>
        <w:spacing w:after="0"/>
        <w:jc w:val="right"/>
        <w:rPr>
          <w:rFonts w:asciiTheme="majorHAnsi" w:hAnsiTheme="majorHAnsi" w:cs="Arial"/>
          <w:sz w:val="14"/>
          <w:szCs w:val="14"/>
          <w:lang w:val="pt-BR"/>
        </w:rPr>
      </w:pPr>
      <w:r w:rsidRPr="009F4387">
        <w:rPr>
          <w:rFonts w:asciiTheme="majorHAnsi" w:hAnsiTheme="majorHAnsi" w:cs="Arial"/>
          <w:sz w:val="14"/>
          <w:szCs w:val="14"/>
          <w:lang w:val="pt-BR"/>
        </w:rPr>
        <w:t>Este material foi revisto e aprovado pela AZ enquanto material de educação médica.</w:t>
      </w:r>
    </w:p>
    <w:p w14:paraId="2E182511" w14:textId="4C76C1E9" w:rsidR="00F80A73" w:rsidRPr="009F4387" w:rsidRDefault="009F4387" w:rsidP="009F4387">
      <w:pPr>
        <w:spacing w:after="0"/>
        <w:jc w:val="right"/>
        <w:rPr>
          <w:rFonts w:asciiTheme="majorHAnsi" w:hAnsiTheme="majorHAnsi" w:cs="Arial"/>
          <w:sz w:val="14"/>
          <w:szCs w:val="14"/>
          <w:lang w:val="pt-BR"/>
        </w:rPr>
      </w:pPr>
      <w:r w:rsidRPr="009F4387">
        <w:rPr>
          <w:rFonts w:asciiTheme="majorHAnsi" w:hAnsiTheme="majorHAnsi" w:cs="Arial"/>
          <w:sz w:val="14"/>
          <w:szCs w:val="14"/>
          <w:lang w:val="pt-BR"/>
        </w:rPr>
        <w:t>PT-23255</w:t>
      </w:r>
      <w:r w:rsidRPr="009F4387">
        <w:rPr>
          <w:rFonts w:asciiTheme="majorHAnsi" w:hAnsiTheme="majorHAnsi" w:cs="Arial"/>
          <w:sz w:val="14"/>
          <w:szCs w:val="14"/>
          <w:lang w:val="pt-BR"/>
        </w:rPr>
        <w:t xml:space="preserve"> </w:t>
      </w:r>
      <w:r w:rsidRPr="009F4387">
        <w:rPr>
          <w:rFonts w:asciiTheme="majorHAnsi" w:hAnsiTheme="majorHAnsi" w:cs="Arial"/>
          <w:sz w:val="14"/>
          <w:szCs w:val="14"/>
          <w:lang w:val="pt-BR"/>
        </w:rPr>
        <w:t>| Aprovado em Fevereiro de 2026</w:t>
      </w:r>
      <w:bookmarkEnd w:id="0"/>
    </w:p>
    <w:sectPr w:rsidR="00F80A73" w:rsidRPr="009F4387">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E12B55" w14:textId="77777777" w:rsidR="00F0668F" w:rsidRPr="00093FC5" w:rsidRDefault="00F0668F" w:rsidP="00F254E2">
      <w:pPr>
        <w:spacing w:after="0" w:line="240" w:lineRule="auto"/>
      </w:pPr>
      <w:r w:rsidRPr="00093FC5">
        <w:separator/>
      </w:r>
    </w:p>
  </w:endnote>
  <w:endnote w:type="continuationSeparator" w:id="0">
    <w:p w14:paraId="7C722C72" w14:textId="77777777" w:rsidR="00F0668F" w:rsidRPr="00093FC5" w:rsidRDefault="00F0668F" w:rsidP="00F254E2">
      <w:pPr>
        <w:spacing w:after="0" w:line="240" w:lineRule="auto"/>
      </w:pPr>
      <w:r w:rsidRPr="00093F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0470380"/>
      <w:docPartObj>
        <w:docPartGallery w:val="Page Numbers (Bottom of Page)"/>
        <w:docPartUnique/>
      </w:docPartObj>
    </w:sdtPr>
    <w:sdtContent>
      <w:sdt>
        <w:sdtPr>
          <w:id w:val="1728636285"/>
          <w:docPartObj>
            <w:docPartGallery w:val="Page Numbers (Top of Page)"/>
            <w:docPartUnique/>
          </w:docPartObj>
        </w:sdtPr>
        <w:sdtContent>
          <w:p w14:paraId="452ACB7A" w14:textId="780DF996" w:rsidR="002A4F9B" w:rsidRPr="00911AA5" w:rsidRDefault="00911AA5" w:rsidP="00911AA5">
            <w:pPr>
              <w:tabs>
                <w:tab w:val="left" w:pos="4810"/>
              </w:tabs>
              <w:spacing w:before="360"/>
              <w:jc w:val="both"/>
            </w:pPr>
            <w:r w:rsidRPr="009F4387">
              <w:rPr>
                <w:rFonts w:ascii="Century Gothic" w:hAnsi="Century Gothic"/>
                <w:b/>
                <w:bCs/>
                <w:color w:val="66328D"/>
                <w:sz w:val="20"/>
                <w:szCs w:val="20"/>
              </w:rPr>
              <w:t xml:space="preserve">Título </w:t>
            </w:r>
            <w:r w:rsidRPr="009F4387">
              <w:rPr>
                <w:rFonts w:ascii="Century Gothic" w:hAnsi="Century Gothic"/>
                <w:b/>
                <w:bCs/>
                <w:color w:val="66328D"/>
                <w:sz w:val="20"/>
                <w:szCs w:val="20"/>
              </w:rPr>
              <w:t xml:space="preserve">do projeto: </w:t>
            </w:r>
            <w:r w:rsidRPr="009F4387">
              <w:rPr>
                <w:rFonts w:ascii="Century Gothic" w:hAnsi="Century Gothic"/>
                <w:i/>
                <w:iCs/>
                <w:color w:val="66328D"/>
                <w:sz w:val="20"/>
                <w:szCs w:val="20"/>
              </w:rPr>
              <w:t>SHE matters - casos clínicos</w:t>
            </w:r>
            <w:r w:rsidRPr="009F4387">
              <w:rPr>
                <w:rFonts w:ascii="Century Gothic" w:hAnsi="Century Gothic"/>
                <w:i/>
                <w:iCs/>
                <w:color w:val="66328D"/>
                <w:sz w:val="20"/>
                <w:szCs w:val="20"/>
              </w:rPr>
              <w:tab/>
            </w:r>
            <w:r>
              <w:rPr>
                <w:rFonts w:ascii="Century Gothic" w:hAnsi="Century Gothic"/>
                <w:b/>
                <w:bCs/>
                <w:i/>
                <w:iCs/>
                <w:color w:val="66328D"/>
                <w:sz w:val="20"/>
                <w:szCs w:val="20"/>
              </w:rPr>
              <w:tab/>
            </w:r>
            <w:r>
              <w:rPr>
                <w:rFonts w:ascii="Century Gothic" w:hAnsi="Century Gothic"/>
                <w:b/>
                <w:bCs/>
                <w:i/>
                <w:iCs/>
                <w:color w:val="66328D"/>
                <w:sz w:val="20"/>
                <w:szCs w:val="20"/>
              </w:rPr>
              <w:tab/>
            </w:r>
            <w:r>
              <w:rPr>
                <w:rFonts w:ascii="Century Gothic" w:hAnsi="Century Gothic"/>
                <w:b/>
                <w:bCs/>
                <w:i/>
                <w:iCs/>
                <w:color w:val="66328D"/>
                <w:sz w:val="20"/>
                <w:szCs w:val="20"/>
              </w:rPr>
              <w:tab/>
            </w:r>
            <w:r>
              <w:rPr>
                <w:rFonts w:ascii="Century Gothic" w:hAnsi="Century Gothic"/>
                <w:b/>
                <w:bCs/>
                <w:i/>
                <w:iCs/>
                <w:color w:val="66328D"/>
                <w:sz w:val="20"/>
                <w:szCs w:val="20"/>
              </w:rPr>
              <w:tab/>
            </w:r>
            <w:r>
              <w:rPr>
                <w:rFonts w:ascii="Century Gothic" w:hAnsi="Century Gothic"/>
                <w:b/>
                <w:bCs/>
                <w:i/>
                <w:iCs/>
                <w:color w:val="66328D"/>
                <w:sz w:val="20"/>
                <w:szCs w:val="20"/>
              </w:rPr>
              <w:tab/>
            </w:r>
            <w:r w:rsidRPr="00911AA5">
              <w:rPr>
                <w:sz w:val="20"/>
                <w:szCs w:val="20"/>
              </w:rPr>
              <w:t xml:space="preserve">Página </w:t>
            </w:r>
            <w:r w:rsidRPr="00911AA5">
              <w:rPr>
                <w:b/>
                <w:bCs/>
                <w:sz w:val="20"/>
                <w:szCs w:val="20"/>
              </w:rPr>
              <w:fldChar w:fldCharType="begin"/>
            </w:r>
            <w:r w:rsidRPr="00911AA5">
              <w:rPr>
                <w:b/>
                <w:bCs/>
                <w:sz w:val="20"/>
                <w:szCs w:val="20"/>
              </w:rPr>
              <w:instrText xml:space="preserve"> PAGE </w:instrText>
            </w:r>
            <w:r w:rsidRPr="00911AA5">
              <w:rPr>
                <w:b/>
                <w:bCs/>
                <w:sz w:val="20"/>
                <w:szCs w:val="20"/>
              </w:rPr>
              <w:fldChar w:fldCharType="separate"/>
            </w:r>
            <w:r w:rsidRPr="00911AA5">
              <w:rPr>
                <w:b/>
                <w:bCs/>
                <w:noProof/>
                <w:sz w:val="20"/>
                <w:szCs w:val="20"/>
              </w:rPr>
              <w:t>2</w:t>
            </w:r>
            <w:r w:rsidRPr="00911AA5">
              <w:rPr>
                <w:b/>
                <w:bCs/>
                <w:sz w:val="20"/>
                <w:szCs w:val="20"/>
              </w:rPr>
              <w:fldChar w:fldCharType="end"/>
            </w:r>
            <w:r w:rsidRPr="00911AA5">
              <w:rPr>
                <w:sz w:val="20"/>
                <w:szCs w:val="20"/>
              </w:rPr>
              <w:t xml:space="preserve"> de </w:t>
            </w:r>
            <w:r w:rsidRPr="00911AA5">
              <w:rPr>
                <w:b/>
                <w:bCs/>
                <w:sz w:val="20"/>
                <w:szCs w:val="20"/>
              </w:rPr>
              <w:fldChar w:fldCharType="begin"/>
            </w:r>
            <w:r w:rsidRPr="00911AA5">
              <w:rPr>
                <w:b/>
                <w:bCs/>
                <w:sz w:val="20"/>
                <w:szCs w:val="20"/>
              </w:rPr>
              <w:instrText xml:space="preserve"> NUMPAGES  </w:instrText>
            </w:r>
            <w:r w:rsidRPr="00911AA5">
              <w:rPr>
                <w:b/>
                <w:bCs/>
                <w:sz w:val="20"/>
                <w:szCs w:val="20"/>
              </w:rPr>
              <w:fldChar w:fldCharType="separate"/>
            </w:r>
            <w:r w:rsidRPr="00911AA5">
              <w:rPr>
                <w:b/>
                <w:bCs/>
                <w:noProof/>
                <w:sz w:val="20"/>
                <w:szCs w:val="20"/>
              </w:rPr>
              <w:t>2</w:t>
            </w:r>
            <w:r w:rsidRPr="00911AA5">
              <w:rPr>
                <w:b/>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BF344" w14:textId="77777777" w:rsidR="00F0668F" w:rsidRPr="00093FC5" w:rsidRDefault="00F0668F" w:rsidP="00F254E2">
      <w:pPr>
        <w:spacing w:after="0" w:line="240" w:lineRule="auto"/>
      </w:pPr>
      <w:r w:rsidRPr="00093FC5">
        <w:separator/>
      </w:r>
    </w:p>
  </w:footnote>
  <w:footnote w:type="continuationSeparator" w:id="0">
    <w:p w14:paraId="160828F4" w14:textId="77777777" w:rsidR="00F0668F" w:rsidRPr="00093FC5" w:rsidRDefault="00F0668F" w:rsidP="00F254E2">
      <w:pPr>
        <w:spacing w:after="0" w:line="240" w:lineRule="auto"/>
      </w:pPr>
      <w:r w:rsidRPr="00093F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C2230" w14:textId="08F41040" w:rsidR="00F254E2" w:rsidRPr="00093FC5" w:rsidRDefault="00D603B7" w:rsidP="00D603B7">
    <w:pPr>
      <w:jc w:val="center"/>
      <w:rPr>
        <w:rFonts w:ascii="Century Gothic" w:hAnsi="Century Gothic"/>
        <w:b/>
        <w:bCs/>
        <w:color w:val="AA89BF"/>
        <w:sz w:val="40"/>
        <w:szCs w:val="40"/>
      </w:rPr>
    </w:pPr>
    <w:r w:rsidRPr="00093FC5">
      <w:rPr>
        <w:rFonts w:ascii="Century Gothic" w:hAnsi="Century Gothic"/>
        <w:b/>
        <w:bCs/>
        <w:color w:val="AA89BF"/>
        <w:sz w:val="40"/>
        <w:szCs w:val="40"/>
      </w:rPr>
      <w:t>PREPARAÇÃO PARECER ÉTICO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3473A"/>
    <w:multiLevelType w:val="hybridMultilevel"/>
    <w:tmpl w:val="5A247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160FB5"/>
    <w:multiLevelType w:val="hybridMultilevel"/>
    <w:tmpl w:val="B4942396"/>
    <w:lvl w:ilvl="0" w:tplc="04090001">
      <w:start w:val="1"/>
      <w:numFmt w:val="bullet"/>
      <w:lvlText w:val=""/>
      <w:lvlJc w:val="left"/>
      <w:pPr>
        <w:ind w:left="720" w:hanging="360"/>
      </w:pPr>
      <w:rPr>
        <w:rFonts w:ascii="Symbol" w:hAnsi="Symbol" w:hint="default"/>
      </w:rPr>
    </w:lvl>
    <w:lvl w:ilvl="1" w:tplc="7F72D93E">
      <w:numFmt w:val="bullet"/>
      <w:lvlText w:val="•"/>
      <w:lvlJc w:val="left"/>
      <w:pPr>
        <w:ind w:left="1800" w:hanging="720"/>
      </w:pPr>
      <w:rPr>
        <w:rFonts w:ascii="Aptos Display" w:eastAsiaTheme="minorHAnsi" w:hAnsi="Aptos Display"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DA1924"/>
    <w:multiLevelType w:val="hybridMultilevel"/>
    <w:tmpl w:val="574A2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FD9D2F"/>
    <w:multiLevelType w:val="hybridMultilevel"/>
    <w:tmpl w:val="B6AA0964"/>
    <w:lvl w:ilvl="0" w:tplc="C2A60A1C">
      <w:start w:val="1"/>
      <w:numFmt w:val="bullet"/>
      <w:lvlText w:val=""/>
      <w:lvlJc w:val="left"/>
      <w:pPr>
        <w:ind w:left="720" w:hanging="360"/>
      </w:pPr>
      <w:rPr>
        <w:rFonts w:ascii="Symbol" w:hAnsi="Symbol" w:hint="default"/>
      </w:rPr>
    </w:lvl>
    <w:lvl w:ilvl="1" w:tplc="267013B0">
      <w:start w:val="1"/>
      <w:numFmt w:val="bullet"/>
      <w:lvlText w:val="o"/>
      <w:lvlJc w:val="left"/>
      <w:pPr>
        <w:ind w:left="1440" w:hanging="360"/>
      </w:pPr>
      <w:rPr>
        <w:rFonts w:ascii="Courier New" w:hAnsi="Courier New" w:hint="default"/>
      </w:rPr>
    </w:lvl>
    <w:lvl w:ilvl="2" w:tplc="C45EC182">
      <w:start w:val="1"/>
      <w:numFmt w:val="bullet"/>
      <w:lvlText w:val=""/>
      <w:lvlJc w:val="left"/>
      <w:pPr>
        <w:ind w:left="2160" w:hanging="360"/>
      </w:pPr>
      <w:rPr>
        <w:rFonts w:ascii="Wingdings" w:hAnsi="Wingdings" w:hint="default"/>
      </w:rPr>
    </w:lvl>
    <w:lvl w:ilvl="3" w:tplc="4F68A2F4">
      <w:start w:val="1"/>
      <w:numFmt w:val="bullet"/>
      <w:lvlText w:val=""/>
      <w:lvlJc w:val="left"/>
      <w:pPr>
        <w:ind w:left="2880" w:hanging="360"/>
      </w:pPr>
      <w:rPr>
        <w:rFonts w:ascii="Symbol" w:hAnsi="Symbol" w:hint="default"/>
      </w:rPr>
    </w:lvl>
    <w:lvl w:ilvl="4" w:tplc="164008A6">
      <w:start w:val="1"/>
      <w:numFmt w:val="bullet"/>
      <w:lvlText w:val="o"/>
      <w:lvlJc w:val="left"/>
      <w:pPr>
        <w:ind w:left="3600" w:hanging="360"/>
      </w:pPr>
      <w:rPr>
        <w:rFonts w:ascii="Courier New" w:hAnsi="Courier New" w:hint="default"/>
      </w:rPr>
    </w:lvl>
    <w:lvl w:ilvl="5" w:tplc="447A4F5E">
      <w:start w:val="1"/>
      <w:numFmt w:val="bullet"/>
      <w:lvlText w:val=""/>
      <w:lvlJc w:val="left"/>
      <w:pPr>
        <w:ind w:left="4320" w:hanging="360"/>
      </w:pPr>
      <w:rPr>
        <w:rFonts w:ascii="Wingdings" w:hAnsi="Wingdings" w:hint="default"/>
      </w:rPr>
    </w:lvl>
    <w:lvl w:ilvl="6" w:tplc="2FF0898A">
      <w:start w:val="1"/>
      <w:numFmt w:val="bullet"/>
      <w:lvlText w:val=""/>
      <w:lvlJc w:val="left"/>
      <w:pPr>
        <w:ind w:left="5040" w:hanging="360"/>
      </w:pPr>
      <w:rPr>
        <w:rFonts w:ascii="Symbol" w:hAnsi="Symbol" w:hint="default"/>
      </w:rPr>
    </w:lvl>
    <w:lvl w:ilvl="7" w:tplc="177E8240">
      <w:start w:val="1"/>
      <w:numFmt w:val="bullet"/>
      <w:lvlText w:val="o"/>
      <w:lvlJc w:val="left"/>
      <w:pPr>
        <w:ind w:left="5760" w:hanging="360"/>
      </w:pPr>
      <w:rPr>
        <w:rFonts w:ascii="Courier New" w:hAnsi="Courier New" w:hint="default"/>
      </w:rPr>
    </w:lvl>
    <w:lvl w:ilvl="8" w:tplc="4DEE2788">
      <w:start w:val="1"/>
      <w:numFmt w:val="bullet"/>
      <w:lvlText w:val=""/>
      <w:lvlJc w:val="left"/>
      <w:pPr>
        <w:ind w:left="6480" w:hanging="360"/>
      </w:pPr>
      <w:rPr>
        <w:rFonts w:ascii="Wingdings" w:hAnsi="Wingdings" w:hint="default"/>
      </w:rPr>
    </w:lvl>
  </w:abstractNum>
  <w:abstractNum w:abstractNumId="4" w15:restartNumberingAfterBreak="0">
    <w:nsid w:val="1E527957"/>
    <w:multiLevelType w:val="hybridMultilevel"/>
    <w:tmpl w:val="B90A360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304966"/>
    <w:multiLevelType w:val="hybridMultilevel"/>
    <w:tmpl w:val="1676F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F073A6"/>
    <w:multiLevelType w:val="hybridMultilevel"/>
    <w:tmpl w:val="05946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51D7E2C"/>
    <w:multiLevelType w:val="hybridMultilevel"/>
    <w:tmpl w:val="47A4E43E"/>
    <w:lvl w:ilvl="0" w:tplc="24A096B0">
      <w:start w:val="1"/>
      <w:numFmt w:val="bullet"/>
      <w:lvlText w:val=""/>
      <w:lvlJc w:val="left"/>
      <w:pPr>
        <w:ind w:left="720" w:hanging="360"/>
      </w:pPr>
      <w:rPr>
        <w:rFonts w:ascii="Wingdings" w:hAnsi="Wingdings" w:cs="Wingdings" w:hint="default"/>
        <w:color w:val="66328D"/>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5CE15FC4"/>
    <w:multiLevelType w:val="hybridMultilevel"/>
    <w:tmpl w:val="5024F4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1486158"/>
    <w:multiLevelType w:val="hybridMultilevel"/>
    <w:tmpl w:val="7604E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A58670A"/>
    <w:multiLevelType w:val="hybridMultilevel"/>
    <w:tmpl w:val="94286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9717669">
    <w:abstractNumId w:val="3"/>
  </w:num>
  <w:num w:numId="2" w16cid:durableId="1517421801">
    <w:abstractNumId w:val="1"/>
  </w:num>
  <w:num w:numId="3" w16cid:durableId="1188367210">
    <w:abstractNumId w:val="4"/>
  </w:num>
  <w:num w:numId="4" w16cid:durableId="1882981892">
    <w:abstractNumId w:val="10"/>
  </w:num>
  <w:num w:numId="5" w16cid:durableId="253513210">
    <w:abstractNumId w:val="5"/>
  </w:num>
  <w:num w:numId="6" w16cid:durableId="1980956866">
    <w:abstractNumId w:val="6"/>
  </w:num>
  <w:num w:numId="7" w16cid:durableId="2122414381">
    <w:abstractNumId w:val="0"/>
  </w:num>
  <w:num w:numId="8" w16cid:durableId="166140434">
    <w:abstractNumId w:val="8"/>
  </w:num>
  <w:num w:numId="9" w16cid:durableId="1479179169">
    <w:abstractNumId w:val="2"/>
  </w:num>
  <w:num w:numId="10" w16cid:durableId="632249782">
    <w:abstractNumId w:val="9"/>
  </w:num>
  <w:num w:numId="11" w16cid:durableId="6679508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49F"/>
    <w:rsid w:val="00005F6D"/>
    <w:rsid w:val="0001450F"/>
    <w:rsid w:val="000243DF"/>
    <w:rsid w:val="00031B25"/>
    <w:rsid w:val="000434DB"/>
    <w:rsid w:val="000441C9"/>
    <w:rsid w:val="000521D4"/>
    <w:rsid w:val="00061681"/>
    <w:rsid w:val="000845AC"/>
    <w:rsid w:val="00093FC5"/>
    <w:rsid w:val="000C797E"/>
    <w:rsid w:val="000E0138"/>
    <w:rsid w:val="000E425F"/>
    <w:rsid w:val="000E4422"/>
    <w:rsid w:val="000E52B0"/>
    <w:rsid w:val="000F15C8"/>
    <w:rsid w:val="000F5AF3"/>
    <w:rsid w:val="000F75B0"/>
    <w:rsid w:val="00104FC9"/>
    <w:rsid w:val="00105BDC"/>
    <w:rsid w:val="001124C6"/>
    <w:rsid w:val="00112D2E"/>
    <w:rsid w:val="001135EB"/>
    <w:rsid w:val="00113B86"/>
    <w:rsid w:val="00121CAE"/>
    <w:rsid w:val="0014757C"/>
    <w:rsid w:val="00154E65"/>
    <w:rsid w:val="00180B5B"/>
    <w:rsid w:val="001B3256"/>
    <w:rsid w:val="001C53E3"/>
    <w:rsid w:val="001D0F4A"/>
    <w:rsid w:val="001D6ACE"/>
    <w:rsid w:val="001E2966"/>
    <w:rsid w:val="001E70C5"/>
    <w:rsid w:val="001F5071"/>
    <w:rsid w:val="001F6D5D"/>
    <w:rsid w:val="00200A4C"/>
    <w:rsid w:val="0020361F"/>
    <w:rsid w:val="00255C93"/>
    <w:rsid w:val="00274E20"/>
    <w:rsid w:val="00282039"/>
    <w:rsid w:val="00290C80"/>
    <w:rsid w:val="00293967"/>
    <w:rsid w:val="002A4F9B"/>
    <w:rsid w:val="002B6D10"/>
    <w:rsid w:val="002D363F"/>
    <w:rsid w:val="002F2629"/>
    <w:rsid w:val="00302BAF"/>
    <w:rsid w:val="00323E94"/>
    <w:rsid w:val="003304FC"/>
    <w:rsid w:val="00340341"/>
    <w:rsid w:val="0036168D"/>
    <w:rsid w:val="00374B99"/>
    <w:rsid w:val="003847F1"/>
    <w:rsid w:val="003A4022"/>
    <w:rsid w:val="003B428D"/>
    <w:rsid w:val="003D1C8F"/>
    <w:rsid w:val="003F7198"/>
    <w:rsid w:val="004214DD"/>
    <w:rsid w:val="00427BA9"/>
    <w:rsid w:val="00445189"/>
    <w:rsid w:val="00446D41"/>
    <w:rsid w:val="004537FE"/>
    <w:rsid w:val="00453BEC"/>
    <w:rsid w:val="00461336"/>
    <w:rsid w:val="00481CFD"/>
    <w:rsid w:val="00484298"/>
    <w:rsid w:val="00484D8C"/>
    <w:rsid w:val="004A0275"/>
    <w:rsid w:val="004B1AA6"/>
    <w:rsid w:val="00514A15"/>
    <w:rsid w:val="005314C5"/>
    <w:rsid w:val="005433AB"/>
    <w:rsid w:val="005434B3"/>
    <w:rsid w:val="00543656"/>
    <w:rsid w:val="00544050"/>
    <w:rsid w:val="00557F19"/>
    <w:rsid w:val="00562DDD"/>
    <w:rsid w:val="00582013"/>
    <w:rsid w:val="00583A05"/>
    <w:rsid w:val="005A187E"/>
    <w:rsid w:val="005A46AD"/>
    <w:rsid w:val="005B4482"/>
    <w:rsid w:val="005C5187"/>
    <w:rsid w:val="005C7F9E"/>
    <w:rsid w:val="005D6EEC"/>
    <w:rsid w:val="005F3BBC"/>
    <w:rsid w:val="006059E3"/>
    <w:rsid w:val="00611B9C"/>
    <w:rsid w:val="0061346D"/>
    <w:rsid w:val="00615BD3"/>
    <w:rsid w:val="00631139"/>
    <w:rsid w:val="0063284A"/>
    <w:rsid w:val="006345D3"/>
    <w:rsid w:val="00641C85"/>
    <w:rsid w:val="006461B9"/>
    <w:rsid w:val="00650A55"/>
    <w:rsid w:val="00674AC5"/>
    <w:rsid w:val="00695A43"/>
    <w:rsid w:val="006A00A2"/>
    <w:rsid w:val="006C7D06"/>
    <w:rsid w:val="006D0CAD"/>
    <w:rsid w:val="006E1652"/>
    <w:rsid w:val="00702E79"/>
    <w:rsid w:val="00710AD5"/>
    <w:rsid w:val="007212F1"/>
    <w:rsid w:val="00736AAD"/>
    <w:rsid w:val="007414B5"/>
    <w:rsid w:val="00742E60"/>
    <w:rsid w:val="00752928"/>
    <w:rsid w:val="007643A2"/>
    <w:rsid w:val="007832EC"/>
    <w:rsid w:val="00792DAA"/>
    <w:rsid w:val="00795BDA"/>
    <w:rsid w:val="007A4575"/>
    <w:rsid w:val="007A7AC3"/>
    <w:rsid w:val="007A7DB7"/>
    <w:rsid w:val="007D146A"/>
    <w:rsid w:val="0080385F"/>
    <w:rsid w:val="00803A3B"/>
    <w:rsid w:val="00807B3A"/>
    <w:rsid w:val="00825D19"/>
    <w:rsid w:val="0083582F"/>
    <w:rsid w:val="0084191F"/>
    <w:rsid w:val="00845461"/>
    <w:rsid w:val="008562BC"/>
    <w:rsid w:val="008A2356"/>
    <w:rsid w:val="008A77DD"/>
    <w:rsid w:val="008B403D"/>
    <w:rsid w:val="008C01CF"/>
    <w:rsid w:val="008D6EDD"/>
    <w:rsid w:val="008F67C1"/>
    <w:rsid w:val="009008DC"/>
    <w:rsid w:val="0091102F"/>
    <w:rsid w:val="00911982"/>
    <w:rsid w:val="00911AA5"/>
    <w:rsid w:val="009237F8"/>
    <w:rsid w:val="009446BF"/>
    <w:rsid w:val="00944E7E"/>
    <w:rsid w:val="00990602"/>
    <w:rsid w:val="009B6C01"/>
    <w:rsid w:val="009C6916"/>
    <w:rsid w:val="009D0F5E"/>
    <w:rsid w:val="009D23E5"/>
    <w:rsid w:val="009D6BB9"/>
    <w:rsid w:val="009E2015"/>
    <w:rsid w:val="009E3C37"/>
    <w:rsid w:val="009F4387"/>
    <w:rsid w:val="00A0542F"/>
    <w:rsid w:val="00A07352"/>
    <w:rsid w:val="00A30946"/>
    <w:rsid w:val="00A412E2"/>
    <w:rsid w:val="00A46078"/>
    <w:rsid w:val="00A53BD0"/>
    <w:rsid w:val="00A644CC"/>
    <w:rsid w:val="00A72196"/>
    <w:rsid w:val="00AA00D0"/>
    <w:rsid w:val="00AD1865"/>
    <w:rsid w:val="00AD5C5B"/>
    <w:rsid w:val="00AD5EFE"/>
    <w:rsid w:val="00AF6A3F"/>
    <w:rsid w:val="00B0031B"/>
    <w:rsid w:val="00B02BDF"/>
    <w:rsid w:val="00B17AE6"/>
    <w:rsid w:val="00B22CE5"/>
    <w:rsid w:val="00B24667"/>
    <w:rsid w:val="00B36CFF"/>
    <w:rsid w:val="00B37AB6"/>
    <w:rsid w:val="00B50F1D"/>
    <w:rsid w:val="00B73CB8"/>
    <w:rsid w:val="00B77A90"/>
    <w:rsid w:val="00BB249F"/>
    <w:rsid w:val="00BC6B52"/>
    <w:rsid w:val="00C07A1E"/>
    <w:rsid w:val="00C265EA"/>
    <w:rsid w:val="00C426F9"/>
    <w:rsid w:val="00C45C5F"/>
    <w:rsid w:val="00C7637F"/>
    <w:rsid w:val="00C8263D"/>
    <w:rsid w:val="00C83C58"/>
    <w:rsid w:val="00C84A5A"/>
    <w:rsid w:val="00C943C1"/>
    <w:rsid w:val="00CB54AB"/>
    <w:rsid w:val="00CC12F1"/>
    <w:rsid w:val="00CC130C"/>
    <w:rsid w:val="00CD2B76"/>
    <w:rsid w:val="00CD4730"/>
    <w:rsid w:val="00CD4C33"/>
    <w:rsid w:val="00CD4CAE"/>
    <w:rsid w:val="00CE5E3C"/>
    <w:rsid w:val="00CF4767"/>
    <w:rsid w:val="00CF70EB"/>
    <w:rsid w:val="00D03E92"/>
    <w:rsid w:val="00D15855"/>
    <w:rsid w:val="00D27589"/>
    <w:rsid w:val="00D430BA"/>
    <w:rsid w:val="00D47C41"/>
    <w:rsid w:val="00D603B7"/>
    <w:rsid w:val="00D70813"/>
    <w:rsid w:val="00D7627F"/>
    <w:rsid w:val="00D824FF"/>
    <w:rsid w:val="00D841FE"/>
    <w:rsid w:val="00D9711A"/>
    <w:rsid w:val="00DB6ED4"/>
    <w:rsid w:val="00DC101D"/>
    <w:rsid w:val="00DC2895"/>
    <w:rsid w:val="00DD0E63"/>
    <w:rsid w:val="00DD77D3"/>
    <w:rsid w:val="00DE3137"/>
    <w:rsid w:val="00E01BC5"/>
    <w:rsid w:val="00E07212"/>
    <w:rsid w:val="00E13F11"/>
    <w:rsid w:val="00E4657F"/>
    <w:rsid w:val="00E544D2"/>
    <w:rsid w:val="00E625A0"/>
    <w:rsid w:val="00E822B2"/>
    <w:rsid w:val="00E92598"/>
    <w:rsid w:val="00EC4E88"/>
    <w:rsid w:val="00ED1163"/>
    <w:rsid w:val="00ED11B2"/>
    <w:rsid w:val="00EF09AE"/>
    <w:rsid w:val="00EF422E"/>
    <w:rsid w:val="00F0668F"/>
    <w:rsid w:val="00F10D52"/>
    <w:rsid w:val="00F254E2"/>
    <w:rsid w:val="00F42D11"/>
    <w:rsid w:val="00F61F4F"/>
    <w:rsid w:val="00F753E8"/>
    <w:rsid w:val="00F77FC8"/>
    <w:rsid w:val="00F80A73"/>
    <w:rsid w:val="00F864A4"/>
    <w:rsid w:val="00FA5AAD"/>
    <w:rsid w:val="00FE3198"/>
    <w:rsid w:val="00FE461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D2C01"/>
  <w15:chartTrackingRefBased/>
  <w15:docId w15:val="{A70A29CD-513F-4C4C-92C2-085029AF5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pt-PT"/>
    </w:rPr>
  </w:style>
  <w:style w:type="paragraph" w:styleId="Heading1">
    <w:name w:val="heading 1"/>
    <w:basedOn w:val="Normal"/>
    <w:next w:val="Normal"/>
    <w:link w:val="Heading1Char"/>
    <w:uiPriority w:val="1"/>
    <w:qFormat/>
    <w:rsid w:val="00BB24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24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249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249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249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24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24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24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24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24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24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249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24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24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24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24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24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249F"/>
    <w:rPr>
      <w:rFonts w:eastAsiaTheme="majorEastAsia" w:cstheme="majorBidi"/>
      <w:color w:val="272727" w:themeColor="text1" w:themeTint="D8"/>
    </w:rPr>
  </w:style>
  <w:style w:type="paragraph" w:styleId="Title">
    <w:name w:val="Title"/>
    <w:basedOn w:val="Normal"/>
    <w:next w:val="Normal"/>
    <w:link w:val="TitleChar"/>
    <w:uiPriority w:val="10"/>
    <w:qFormat/>
    <w:rsid w:val="00BB24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24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24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24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249F"/>
    <w:pPr>
      <w:spacing w:before="160"/>
      <w:jc w:val="center"/>
    </w:pPr>
    <w:rPr>
      <w:i/>
      <w:iCs/>
      <w:color w:val="404040" w:themeColor="text1" w:themeTint="BF"/>
    </w:rPr>
  </w:style>
  <w:style w:type="character" w:customStyle="1" w:styleId="QuoteChar">
    <w:name w:val="Quote Char"/>
    <w:basedOn w:val="DefaultParagraphFont"/>
    <w:link w:val="Quote"/>
    <w:uiPriority w:val="29"/>
    <w:rsid w:val="00BB249F"/>
    <w:rPr>
      <w:i/>
      <w:iCs/>
      <w:color w:val="404040" w:themeColor="text1" w:themeTint="BF"/>
    </w:rPr>
  </w:style>
  <w:style w:type="paragraph" w:styleId="ListParagraph">
    <w:name w:val="List Paragraph"/>
    <w:basedOn w:val="Normal"/>
    <w:uiPriority w:val="34"/>
    <w:qFormat/>
    <w:rsid w:val="00BB249F"/>
    <w:pPr>
      <w:ind w:left="720"/>
      <w:contextualSpacing/>
    </w:pPr>
  </w:style>
  <w:style w:type="character" w:styleId="IntenseEmphasis">
    <w:name w:val="Intense Emphasis"/>
    <w:basedOn w:val="DefaultParagraphFont"/>
    <w:uiPriority w:val="21"/>
    <w:qFormat/>
    <w:rsid w:val="00BB249F"/>
    <w:rPr>
      <w:i/>
      <w:iCs/>
      <w:color w:val="0F4761" w:themeColor="accent1" w:themeShade="BF"/>
    </w:rPr>
  </w:style>
  <w:style w:type="paragraph" w:styleId="IntenseQuote">
    <w:name w:val="Intense Quote"/>
    <w:basedOn w:val="Normal"/>
    <w:next w:val="Normal"/>
    <w:link w:val="IntenseQuoteChar"/>
    <w:uiPriority w:val="30"/>
    <w:qFormat/>
    <w:rsid w:val="00BB24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249F"/>
    <w:rPr>
      <w:i/>
      <w:iCs/>
      <w:color w:val="0F4761" w:themeColor="accent1" w:themeShade="BF"/>
    </w:rPr>
  </w:style>
  <w:style w:type="character" w:styleId="IntenseReference">
    <w:name w:val="Intense Reference"/>
    <w:basedOn w:val="DefaultParagraphFont"/>
    <w:uiPriority w:val="32"/>
    <w:qFormat/>
    <w:rsid w:val="00BB249F"/>
    <w:rPr>
      <w:b/>
      <w:bCs/>
      <w:smallCaps/>
      <w:color w:val="0F4761" w:themeColor="accent1" w:themeShade="BF"/>
      <w:spacing w:val="5"/>
    </w:rPr>
  </w:style>
  <w:style w:type="paragraph" w:styleId="BodyText">
    <w:name w:val="Body Text"/>
    <w:basedOn w:val="Normal"/>
    <w:link w:val="BodyTextChar"/>
    <w:uiPriority w:val="1"/>
    <w:qFormat/>
    <w:rsid w:val="00BB249F"/>
    <w:pPr>
      <w:widowControl w:val="0"/>
      <w:autoSpaceDE w:val="0"/>
      <w:autoSpaceDN w:val="0"/>
      <w:spacing w:after="0" w:line="240" w:lineRule="auto"/>
      <w:ind w:left="860" w:hanging="360"/>
    </w:pPr>
    <w:rPr>
      <w:rFonts w:ascii="Calibri" w:eastAsia="Calibri" w:hAnsi="Calibri" w:cs="Calibri"/>
      <w:kern w:val="0"/>
      <w14:ligatures w14:val="none"/>
    </w:rPr>
  </w:style>
  <w:style w:type="character" w:customStyle="1" w:styleId="BodyTextChar">
    <w:name w:val="Body Text Char"/>
    <w:basedOn w:val="DefaultParagraphFont"/>
    <w:link w:val="BodyText"/>
    <w:uiPriority w:val="1"/>
    <w:rsid w:val="00BB249F"/>
    <w:rPr>
      <w:rFonts w:ascii="Calibri" w:eastAsia="Calibri" w:hAnsi="Calibri" w:cs="Calibri"/>
      <w:kern w:val="0"/>
      <w:lang w:val="pt-PT"/>
      <w14:ligatures w14:val="none"/>
    </w:rPr>
  </w:style>
  <w:style w:type="paragraph" w:styleId="Header">
    <w:name w:val="header"/>
    <w:basedOn w:val="Normal"/>
    <w:link w:val="HeaderChar"/>
    <w:uiPriority w:val="99"/>
    <w:unhideWhenUsed/>
    <w:rsid w:val="00F254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54E2"/>
  </w:style>
  <w:style w:type="paragraph" w:styleId="Footer">
    <w:name w:val="footer"/>
    <w:basedOn w:val="Normal"/>
    <w:link w:val="FooterChar"/>
    <w:uiPriority w:val="99"/>
    <w:unhideWhenUsed/>
    <w:rsid w:val="00F254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54E2"/>
  </w:style>
  <w:style w:type="paragraph" w:customStyle="1" w:styleId="Default">
    <w:name w:val="Default"/>
    <w:rsid w:val="008A2356"/>
    <w:pPr>
      <w:autoSpaceDE w:val="0"/>
      <w:autoSpaceDN w:val="0"/>
      <w:adjustRightInd w:val="0"/>
      <w:spacing w:after="0" w:line="240" w:lineRule="auto"/>
    </w:pPr>
    <w:rPr>
      <w:rFonts w:ascii="Calibri" w:hAnsi="Calibri" w:cs="Calibri"/>
      <w:color w:val="000000"/>
      <w:kern w:val="0"/>
    </w:rPr>
  </w:style>
  <w:style w:type="character" w:styleId="Hyperlink">
    <w:name w:val="Hyperlink"/>
    <w:basedOn w:val="DefaultParagraphFont"/>
    <w:uiPriority w:val="99"/>
    <w:unhideWhenUsed/>
    <w:rsid w:val="00514A15"/>
    <w:rPr>
      <w:color w:val="467886" w:themeColor="hyperlink"/>
      <w:u w:val="single"/>
    </w:rPr>
  </w:style>
  <w:style w:type="character" w:styleId="UnresolvedMention">
    <w:name w:val="Unresolved Mention"/>
    <w:basedOn w:val="DefaultParagraphFont"/>
    <w:uiPriority w:val="99"/>
    <w:semiHidden/>
    <w:unhideWhenUsed/>
    <w:rsid w:val="00514A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ivacy@astrazeneca.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hematters.p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hematters.p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1ee89e71-04cd-405e-9ca3-99e020c1694d" ContentTypeId="0x0101" PreviousValue="false"/>
</file>

<file path=customXml/item2.xml><?xml version="1.0" encoding="utf-8"?>
<ct:contentTypeSchema xmlns:ct="http://schemas.microsoft.com/office/2006/metadata/contentType" xmlns:ma="http://schemas.microsoft.com/office/2006/metadata/properties/metaAttributes" ct:_="" ma:_="" ma:contentTypeName="Documento" ma:contentTypeID="0x010100A1F4CF088B0BF941ADA199A29183E2D3" ma:contentTypeVersion="19" ma:contentTypeDescription="Criar um novo documento." ma:contentTypeScope="" ma:versionID="8bfc5189e621ad5fe9b524e14db184b4">
  <xsd:schema xmlns:xsd="http://www.w3.org/2001/XMLSchema" xmlns:xs="http://www.w3.org/2001/XMLSchema" xmlns:p="http://schemas.microsoft.com/office/2006/metadata/properties" xmlns:ns2="44a56295-c29e-4898-8136-a54736c65b82" xmlns:ns3="fb1ccaad-0044-493c-8c7b-331401d0d1ad" xmlns:ns4="e3f970fe-0884-47cc-8970-e42e62824b4f" targetNamespace="http://schemas.microsoft.com/office/2006/metadata/properties" ma:root="true" ma:fieldsID="f886155f7adc94ad50bf150b03f05a93" ns2:_="" ns3:_="" ns4:_="">
    <xsd:import namespace="44a56295-c29e-4898-8136-a54736c65b82"/>
    <xsd:import namespace="fb1ccaad-0044-493c-8c7b-331401d0d1ad"/>
    <xsd:import namespace="e3f970fe-0884-47cc-8970-e42e62824b4f"/>
    <xsd:element name="properties">
      <xsd:complexType>
        <xsd:sequence>
          <xsd:element name="documentManagement">
            <xsd:complexType>
              <xsd:all>
                <xsd:element ref="ns2:Descriptions" minOccurs="0"/>
                <xsd:element ref="ns2:Keyword" minOccurs="0"/>
                <xsd:element ref="ns3:MediaServiceMetadata" minOccurs="0"/>
                <xsd:element ref="ns3:MediaServiceFastMetadata" minOccurs="0"/>
                <xsd:element ref="ns3:MediaServiceObjectDetectorVersion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3:MediaServiceSearchProperties" minOccurs="0"/>
                <xsd:element ref="ns3:MediaLengthInSeconds" minOccurs="0"/>
                <xsd:element ref="ns3:_Flow_SignoffStatu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a56295-c29e-4898-8136-a54736c65b82" elementFormDefault="qualified">
    <xsd:import namespace="http://schemas.microsoft.com/office/2006/documentManagement/types"/>
    <xsd:import namespace="http://schemas.microsoft.com/office/infopath/2007/PartnerControls"/>
    <xsd:element name="Descriptions" ma:index="8" nillable="true" ma:displayName="Descriptions" ma:description="Describe your document to make it appear at the top of search results" ma:internalName="Descriptions">
      <xsd:simpleType>
        <xsd:restriction base="dms:Note">
          <xsd:maxLength value="255"/>
        </xsd:restriction>
      </xsd:simpleType>
    </xsd:element>
    <xsd:element name="Keyword" ma:index="9" nillable="true" ma:displayName="Keyword" ma:description="Enter list of terms separated by semi-colon(;)" ma:internalName="Keyw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b1ccaad-0044-493c-8c7b-331401d0d1a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Etiquetas de Imagem" ma:readOnly="false" ma:fieldId="{5cf76f15-5ced-4ddc-b409-7134ff3c332f}" ma:taxonomyMulti="true" ma:sspId="1ee89e71-04cd-405e-9ca3-99e020c1694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_Flow_SignoffStatus" ma:index="25" nillable="true" ma:displayName="Sign-off status" ma:internalName="Sign_x002d_off_x0020_status">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f970fe-0884-47cc-8970-e42e62824b4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f5362c8-fc16-4bee-a9b8-f5bc09e1be75}" ma:internalName="TaxCatchAll" ma:showField="CatchAllData" ma:web="e3f970fe-0884-47cc-8970-e42e62824b4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hes de 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Keyword xmlns="44a56295-c29e-4898-8136-a54736c65b82" xsi:nil="true"/>
    <_Flow_SignoffStatus xmlns="fb1ccaad-0044-493c-8c7b-331401d0d1ad" xsi:nil="true"/>
    <lcf76f155ced4ddcb4097134ff3c332f xmlns="fb1ccaad-0044-493c-8c7b-331401d0d1ad">
      <Terms xmlns="http://schemas.microsoft.com/office/infopath/2007/PartnerControls"/>
    </lcf76f155ced4ddcb4097134ff3c332f>
    <TaxCatchAll xmlns="e3f970fe-0884-47cc-8970-e42e62824b4f" xsi:nil="true"/>
    <Descriptions xmlns="44a56295-c29e-4898-8136-a54736c65b8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A0F415-C673-448B-B8BE-92C21C29A1DD}">
  <ds:schemaRefs>
    <ds:schemaRef ds:uri="Microsoft.SharePoint.Taxonomy.ContentTypeSync"/>
  </ds:schemaRefs>
</ds:datastoreItem>
</file>

<file path=customXml/itemProps2.xml><?xml version="1.0" encoding="utf-8"?>
<ds:datastoreItem xmlns:ds="http://schemas.openxmlformats.org/officeDocument/2006/customXml" ds:itemID="{3252A1ED-6833-4D29-B524-EE84B6581C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a56295-c29e-4898-8136-a54736c65b82"/>
    <ds:schemaRef ds:uri="fb1ccaad-0044-493c-8c7b-331401d0d1ad"/>
    <ds:schemaRef ds:uri="e3f970fe-0884-47cc-8970-e42e62824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8D6384-AA13-4E3B-BD6B-1F3EE4CC5B17}">
  <ds:schemaRefs>
    <ds:schemaRef ds:uri="http://schemas.microsoft.com/office/2006/metadata/properties"/>
    <ds:schemaRef ds:uri="http://schemas.microsoft.com/office/infopath/2007/PartnerControls"/>
    <ds:schemaRef ds:uri="44a56295-c29e-4898-8136-a54736c65b82"/>
    <ds:schemaRef ds:uri="fb1ccaad-0044-493c-8c7b-331401d0d1ad"/>
    <ds:schemaRef ds:uri="e3f970fe-0884-47cc-8970-e42e62824b4f"/>
  </ds:schemaRefs>
</ds:datastoreItem>
</file>

<file path=customXml/itemProps4.xml><?xml version="1.0" encoding="utf-8"?>
<ds:datastoreItem xmlns:ds="http://schemas.openxmlformats.org/officeDocument/2006/customXml" ds:itemID="{19B2E5C0-2353-43A3-894E-4B150A2CA2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7</Pages>
  <Words>2186</Words>
  <Characters>13126</Characters>
  <Application>Microsoft Office Word</Application>
  <DocSecurity>0</DocSecurity>
  <Lines>243</Lines>
  <Paragraphs>88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15246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Ribeiro, Jéssica</dc:creator>
  <cp:keywords/>
  <dc:description/>
  <cp:lastModifiedBy>Ribeiro, Jéssica</cp:lastModifiedBy>
  <cp:revision>8</cp:revision>
  <dcterms:created xsi:type="dcterms:W3CDTF">2026-02-05T13:24:00Z</dcterms:created>
  <dcterms:modified xsi:type="dcterms:W3CDTF">2026-02-09T12:49:00Z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0x010100A1F4CF088B0BF941ADA199A29183E2D3</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